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AF820" w14:textId="2427FE0E" w:rsidR="007D6FAB" w:rsidRDefault="007D6FAB" w:rsidP="007D6FAB">
      <w:pPr>
        <w:rPr>
          <w:rFonts w:ascii="Century Gothic" w:hAnsi="Century Gothic" w:cs="Open Sans Light"/>
          <w:b/>
          <w:bCs/>
          <w:szCs w:val="20"/>
        </w:rPr>
      </w:pPr>
      <w:r w:rsidRPr="00F453A9">
        <w:rPr>
          <w:rFonts w:ascii="Century Gothic" w:hAnsi="Century Gothic" w:cs="Open Sans Light"/>
          <w:b/>
          <w:bCs/>
          <w:szCs w:val="20"/>
        </w:rPr>
        <w:t>Advice fee</w:t>
      </w:r>
    </w:p>
    <w:p w14:paraId="2D4A31CF" w14:textId="77777777" w:rsidR="00AF0E90" w:rsidRPr="00F453A9" w:rsidRDefault="00AF0E90" w:rsidP="007D6FAB">
      <w:pPr>
        <w:rPr>
          <w:rFonts w:ascii="Century Gothic" w:hAnsi="Century Gothic" w:cs="Open Sans Light"/>
          <w:b/>
          <w:bCs/>
          <w:sz w:val="18"/>
          <w:szCs w:val="18"/>
        </w:rPr>
      </w:pPr>
    </w:p>
    <w:p w14:paraId="3D1DB1DA" w14:textId="77777777" w:rsidR="007D6FAB" w:rsidRPr="00F453A9" w:rsidRDefault="007D6FAB" w:rsidP="007D6FAB">
      <w:pPr>
        <w:rPr>
          <w:rFonts w:ascii="Century Gothic" w:hAnsi="Century Gothic" w:cs="Open Sans Light"/>
          <w:sz w:val="18"/>
          <w:szCs w:val="18"/>
        </w:rPr>
      </w:pPr>
      <w:r w:rsidRPr="00F453A9">
        <w:rPr>
          <w:rFonts w:ascii="Century Gothic" w:hAnsi="Century Gothic" w:cs="Open Sans Light"/>
          <w:sz w:val="18"/>
          <w:szCs w:val="18"/>
        </w:rPr>
        <w:t xml:space="preserve">Once we have assessed your needs and circumstances, we will advise you accordingly and make a personal recommendation for you. If you wish to go ahead with our recommendations, we will implement these for you. </w:t>
      </w:r>
    </w:p>
    <w:p w14:paraId="373CC3F3" w14:textId="77777777" w:rsidR="007D6FAB" w:rsidRPr="00F453A9" w:rsidRDefault="007D6FAB" w:rsidP="007D6FAB">
      <w:pPr>
        <w:rPr>
          <w:rFonts w:ascii="Century Gothic" w:hAnsi="Century Gothic" w:cs="Open Sans Light"/>
          <w:sz w:val="18"/>
          <w:szCs w:val="18"/>
        </w:rPr>
      </w:pPr>
    </w:p>
    <w:p w14:paraId="31360D42" w14:textId="77777777" w:rsidR="007D6FAB" w:rsidRPr="00F453A9" w:rsidRDefault="007D6FAB" w:rsidP="007D6FAB">
      <w:pPr>
        <w:rPr>
          <w:rFonts w:ascii="Century Gothic" w:hAnsi="Century Gothic" w:cs="Open Sans Light"/>
          <w:sz w:val="18"/>
          <w:szCs w:val="18"/>
        </w:rPr>
      </w:pPr>
      <w:r w:rsidRPr="00F453A9">
        <w:rPr>
          <w:rFonts w:ascii="Century Gothic" w:hAnsi="Century Gothic" w:cs="Open Sans Light"/>
          <w:sz w:val="18"/>
          <w:szCs w:val="18"/>
        </w:rPr>
        <w:t xml:space="preserve">The fee that applies will depend on whether you are making a single payment (otherwise called a ‘lump sum’), or whether you are planning to make regular contributions. </w:t>
      </w:r>
    </w:p>
    <w:p w14:paraId="01A75780" w14:textId="77777777" w:rsidR="007D6FAB" w:rsidRPr="00F453A9" w:rsidRDefault="007D6FAB" w:rsidP="007D6FAB">
      <w:pPr>
        <w:rPr>
          <w:rFonts w:ascii="Century Gothic" w:hAnsi="Century Gothic" w:cs="Open Sans Light"/>
          <w:sz w:val="18"/>
          <w:szCs w:val="18"/>
        </w:rPr>
      </w:pPr>
    </w:p>
    <w:p w14:paraId="0BD477A9" w14:textId="77777777" w:rsidR="007D6FAB" w:rsidRPr="00F453A9" w:rsidRDefault="007D6FAB" w:rsidP="007D6FAB">
      <w:pPr>
        <w:rPr>
          <w:rFonts w:ascii="Century Gothic" w:hAnsi="Century Gothic" w:cs="Open Sans Light"/>
          <w:sz w:val="18"/>
          <w:szCs w:val="18"/>
        </w:rPr>
      </w:pPr>
      <w:r w:rsidRPr="00F453A9">
        <w:rPr>
          <w:rFonts w:ascii="Century Gothic" w:hAnsi="Century Gothic" w:cs="Open Sans Light"/>
          <w:sz w:val="18"/>
          <w:szCs w:val="18"/>
        </w:rPr>
        <w:t>For example, a lump sum fee would apply where you seek our advice to invest a one-off inheritance, whereas a regular fee would apply where you ask us to recommend a pension plan which you choose to pay into monthly.</w:t>
      </w:r>
    </w:p>
    <w:p w14:paraId="70FF3DAC" w14:textId="77777777" w:rsidR="007D6FAB" w:rsidRPr="00F453A9" w:rsidRDefault="007D6FAB" w:rsidP="007D6FAB">
      <w:pPr>
        <w:rPr>
          <w:rFonts w:ascii="Century Gothic" w:hAnsi="Century Gothic" w:cs="Open Sans Light"/>
          <w:sz w:val="18"/>
          <w:szCs w:val="18"/>
        </w:rPr>
      </w:pPr>
    </w:p>
    <w:tbl>
      <w:tblPr>
        <w:tblStyle w:val="TableGrid"/>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0F7B3F"/>
          <w:insideV w:val="single" w:sz="4" w:space="0" w:color="0F7B3F"/>
        </w:tblBorders>
        <w:tblCellMar>
          <w:top w:w="113" w:type="dxa"/>
          <w:bottom w:w="113" w:type="dxa"/>
        </w:tblCellMar>
        <w:tblLook w:val="04A0" w:firstRow="1" w:lastRow="0" w:firstColumn="1" w:lastColumn="0" w:noHBand="0" w:noVBand="1"/>
      </w:tblPr>
      <w:tblGrid>
        <w:gridCol w:w="906"/>
        <w:gridCol w:w="8467"/>
      </w:tblGrid>
      <w:tr w:rsidR="007D6FAB" w:rsidRPr="00F453A9" w14:paraId="1BF51FC1" w14:textId="77777777" w:rsidTr="0003467F">
        <w:tc>
          <w:tcPr>
            <w:tcW w:w="876" w:type="dxa"/>
            <w:tcBorders>
              <w:right w:val="single" w:sz="4" w:space="0" w:color="FFF8EF"/>
            </w:tcBorders>
            <w:shd w:val="clear" w:color="auto" w:fill="FFF8EF"/>
            <w:vAlign w:val="center"/>
          </w:tcPr>
          <w:p w14:paraId="0AEDEC6E" w14:textId="77777777" w:rsidR="007D6FAB" w:rsidRPr="00F453A9" w:rsidRDefault="007D6FAB" w:rsidP="0003467F">
            <w:pPr>
              <w:jc w:val="center"/>
              <w:rPr>
                <w:rFonts w:ascii="Century Gothic" w:hAnsi="Century Gothic" w:cs="Arial"/>
              </w:rPr>
            </w:pPr>
            <w:r w:rsidRPr="00F453A9">
              <w:rPr>
                <w:rFonts w:ascii="Century Gothic" w:hAnsi="Century Gothic" w:cs="Arial"/>
                <w:noProof/>
              </w:rPr>
              <w:drawing>
                <wp:inline distT="0" distB="0" distL="0" distR="0" wp14:anchorId="7BF8B04F" wp14:editId="0E90B6A5">
                  <wp:extent cx="409575" cy="409575"/>
                  <wp:effectExtent l="0" t="0" r="9525" b="9525"/>
                  <wp:docPr id="15573937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68142" name="Graphic 1861068142"/>
                          <pic:cNvPicPr/>
                        </pic:nvPicPr>
                        <pic:blipFill>
                          <a:blip r:embed="rId8">
                            <a:extLst>
                              <a:ext uri="{96DAC541-7B7A-43D3-8B79-37D633B846F1}">
                                <asvg:svgBlip xmlns:asvg="http://schemas.microsoft.com/office/drawing/2016/SVG/main" r:embed="rId9"/>
                              </a:ext>
                            </a:extLst>
                          </a:blip>
                          <a:stretch>
                            <a:fillRect/>
                          </a:stretch>
                        </pic:blipFill>
                        <pic:spPr>
                          <a:xfrm>
                            <a:off x="0" y="0"/>
                            <a:ext cx="412101" cy="412101"/>
                          </a:xfrm>
                          <a:prstGeom prst="rect">
                            <a:avLst/>
                          </a:prstGeom>
                        </pic:spPr>
                      </pic:pic>
                    </a:graphicData>
                  </a:graphic>
                </wp:inline>
              </w:drawing>
            </w:r>
          </w:p>
        </w:tc>
        <w:tc>
          <w:tcPr>
            <w:tcW w:w="8191" w:type="dxa"/>
            <w:tcBorders>
              <w:left w:val="single" w:sz="4" w:space="0" w:color="FFF8EF"/>
            </w:tcBorders>
            <w:shd w:val="clear" w:color="auto" w:fill="FFF8EF"/>
            <w:vAlign w:val="center"/>
          </w:tcPr>
          <w:p w14:paraId="6493FA45" w14:textId="77777777" w:rsidR="007D6FAB" w:rsidRPr="00F453A9" w:rsidRDefault="007D6FAB" w:rsidP="0003467F">
            <w:pPr>
              <w:rPr>
                <w:rFonts w:ascii="Century Gothic" w:hAnsi="Century Gothic" w:cs="Open Sans Light"/>
                <w:sz w:val="18"/>
                <w:szCs w:val="18"/>
              </w:rPr>
            </w:pPr>
            <w:r w:rsidRPr="00F453A9">
              <w:rPr>
                <w:rFonts w:ascii="Century Gothic" w:hAnsi="Century Gothic" w:cs="Open Sans Light"/>
                <w:sz w:val="18"/>
                <w:szCs w:val="18"/>
              </w:rPr>
              <w:t>When you invest a lump sum, our advice fee is tiered. This means the more you invest, the lower the fee rate you pay. As well as offering financial benefits, this can give you greater clarity and peace of mind over how much you’ll pay for our services, should you choose to invest any additional sums.</w:t>
            </w:r>
          </w:p>
        </w:tc>
      </w:tr>
    </w:tbl>
    <w:p w14:paraId="25CFFE2A" w14:textId="77777777" w:rsidR="007D6FAB" w:rsidRPr="00F453A9" w:rsidRDefault="007D6FAB" w:rsidP="007D6FAB">
      <w:pPr>
        <w:rPr>
          <w:rFonts w:ascii="Century Gothic" w:hAnsi="Century Gothic" w:cs="Open Sans Light"/>
          <w:sz w:val="18"/>
          <w:szCs w:val="18"/>
        </w:rPr>
      </w:pPr>
    </w:p>
    <w:p w14:paraId="37565CF0" w14:textId="77777777" w:rsidR="007D6FAB" w:rsidRPr="00F453A9" w:rsidRDefault="007D6FAB" w:rsidP="007D6FAB">
      <w:pPr>
        <w:rPr>
          <w:rFonts w:ascii="Century Gothic" w:hAnsi="Century Gothic" w:cs="Open Sans Light"/>
          <w:sz w:val="18"/>
          <w:szCs w:val="18"/>
        </w:rPr>
      </w:pPr>
      <w:r w:rsidRPr="00F453A9">
        <w:rPr>
          <w:rFonts w:ascii="Century Gothic" w:hAnsi="Century Gothic" w:cs="Open Sans Light"/>
          <w:sz w:val="18"/>
          <w:szCs w:val="18"/>
        </w:rPr>
        <w:t>Our fees for this service are as follows:</w:t>
      </w:r>
    </w:p>
    <w:p w14:paraId="07382833" w14:textId="77777777" w:rsidR="007D6FAB" w:rsidRPr="00F453A9" w:rsidRDefault="007D6FAB" w:rsidP="007D6FAB">
      <w:pPr>
        <w:rPr>
          <w:rFonts w:ascii="Century Gothic" w:hAnsi="Century Gothic" w:cs="Open Sans Light"/>
          <w:sz w:val="18"/>
          <w:szCs w:val="18"/>
        </w:rPr>
      </w:pPr>
    </w:p>
    <w:p w14:paraId="704AD2F0" w14:textId="27EDAA61" w:rsidR="003F6D56" w:rsidRPr="0013341C" w:rsidRDefault="007D6FAB" w:rsidP="003F6D56">
      <w:pPr>
        <w:rPr>
          <w:rFonts w:ascii="Century Gothic" w:hAnsi="Century Gothic"/>
        </w:rPr>
      </w:pPr>
      <w:r w:rsidRPr="0013341C">
        <w:rPr>
          <w:rFonts w:ascii="Century Gothic" w:hAnsi="Century Gothic" w:cs="Open Sans Light"/>
          <w:b/>
          <w:bCs/>
          <w:sz w:val="18"/>
          <w:szCs w:val="18"/>
        </w:rPr>
        <w:t>How the advice fee applies to lump sums</w:t>
      </w:r>
    </w:p>
    <w:p w14:paraId="6F9ACCA5" w14:textId="4C30B887" w:rsidR="00CA7B02" w:rsidRPr="0013341C" w:rsidRDefault="00CA7B02" w:rsidP="00AE7787">
      <w:pPr>
        <w:suppressAutoHyphens/>
        <w:autoSpaceDN w:val="0"/>
        <w:textAlignment w:val="baseline"/>
        <w:rPr>
          <w:rFonts w:ascii="Century Gothic" w:hAnsi="Century Gothic" w:cs="Open Sans Light"/>
          <w:sz w:val="18"/>
          <w:szCs w:val="18"/>
        </w:rPr>
      </w:pPr>
      <w:bookmarkStart w:id="0" w:name="_Toc410822296"/>
    </w:p>
    <w:p w14:paraId="48153EB0" w14:textId="3453BA77" w:rsidR="00566F2D" w:rsidRPr="0013341C" w:rsidRDefault="00566F2D" w:rsidP="007234EF">
      <w:pPr>
        <w:pStyle w:val="ListParagraph"/>
        <w:numPr>
          <w:ilvl w:val="0"/>
          <w:numId w:val="20"/>
        </w:numPr>
        <w:suppressAutoHyphens/>
        <w:autoSpaceDN w:val="0"/>
        <w:spacing w:after="0" w:line="240" w:lineRule="auto"/>
        <w:contextualSpacing w:val="0"/>
        <w:textAlignment w:val="baseline"/>
        <w:rPr>
          <w:rFonts w:ascii="Century Gothic" w:hAnsi="Century Gothic" w:cs="Open Sans Light"/>
          <w:sz w:val="18"/>
          <w:szCs w:val="18"/>
        </w:rPr>
      </w:pPr>
      <w:r w:rsidRPr="0013341C">
        <w:rPr>
          <w:rFonts w:ascii="Century Gothic" w:hAnsi="Century Gothic" w:cs="Open Sans Light"/>
          <w:sz w:val="18"/>
          <w:szCs w:val="18"/>
        </w:rPr>
        <w:t>4% on the first £50,000 you invest</w:t>
      </w:r>
    </w:p>
    <w:p w14:paraId="28E9E109" w14:textId="2D108A21" w:rsidR="003F6D56" w:rsidRPr="0013341C" w:rsidRDefault="000827BB" w:rsidP="007234EF">
      <w:pPr>
        <w:pStyle w:val="ListParagraph"/>
        <w:numPr>
          <w:ilvl w:val="0"/>
          <w:numId w:val="20"/>
        </w:numPr>
        <w:suppressAutoHyphens/>
        <w:autoSpaceDN w:val="0"/>
        <w:spacing w:after="0" w:line="240" w:lineRule="auto"/>
        <w:contextualSpacing w:val="0"/>
        <w:textAlignment w:val="baseline"/>
        <w:rPr>
          <w:rFonts w:ascii="Century Gothic" w:hAnsi="Century Gothic" w:cs="Open Sans Light"/>
          <w:sz w:val="18"/>
          <w:szCs w:val="18"/>
        </w:rPr>
      </w:pPr>
      <w:r w:rsidRPr="0013341C">
        <w:rPr>
          <w:rFonts w:ascii="Century Gothic" w:hAnsi="Century Gothic" w:cs="Open Sans Light"/>
          <w:sz w:val="18"/>
          <w:szCs w:val="18"/>
        </w:rPr>
        <w:t xml:space="preserve">3% </w:t>
      </w:r>
      <w:r w:rsidR="00566F2D" w:rsidRPr="0013341C">
        <w:rPr>
          <w:rFonts w:ascii="Century Gothic" w:hAnsi="Century Gothic" w:cs="Open Sans Light"/>
          <w:sz w:val="18"/>
          <w:szCs w:val="18"/>
        </w:rPr>
        <w:t>on the next £50,000 you invest and</w:t>
      </w:r>
    </w:p>
    <w:p w14:paraId="2F6AE120" w14:textId="333FD179" w:rsidR="003F6D56" w:rsidRPr="0013341C" w:rsidRDefault="000827BB" w:rsidP="007234EF">
      <w:pPr>
        <w:pStyle w:val="ListParagraph"/>
        <w:numPr>
          <w:ilvl w:val="0"/>
          <w:numId w:val="20"/>
        </w:numPr>
        <w:suppressAutoHyphens/>
        <w:autoSpaceDN w:val="0"/>
        <w:spacing w:after="0" w:line="240" w:lineRule="auto"/>
        <w:contextualSpacing w:val="0"/>
        <w:textAlignment w:val="baseline"/>
        <w:rPr>
          <w:rFonts w:ascii="Century Gothic" w:hAnsi="Century Gothic" w:cs="Open Sans Light"/>
          <w:sz w:val="18"/>
          <w:szCs w:val="18"/>
        </w:rPr>
      </w:pPr>
      <w:r w:rsidRPr="0013341C">
        <w:rPr>
          <w:rFonts w:ascii="Century Gothic" w:hAnsi="Century Gothic" w:cs="Open Sans Light"/>
          <w:sz w:val="18"/>
          <w:szCs w:val="18"/>
        </w:rPr>
        <w:t>2.5</w:t>
      </w:r>
      <w:r w:rsidR="003F6D56" w:rsidRPr="0013341C">
        <w:rPr>
          <w:rFonts w:ascii="Century Gothic" w:hAnsi="Century Gothic" w:cs="Open Sans Light"/>
          <w:sz w:val="18"/>
          <w:szCs w:val="18"/>
        </w:rPr>
        <w:t xml:space="preserve">% on the next </w:t>
      </w:r>
      <w:r w:rsidR="00566F2D" w:rsidRPr="0013341C">
        <w:rPr>
          <w:rFonts w:ascii="Century Gothic" w:hAnsi="Century Gothic" w:cs="Open Sans Light"/>
          <w:sz w:val="18"/>
          <w:szCs w:val="18"/>
        </w:rPr>
        <w:t>£50,000 you invest</w:t>
      </w:r>
    </w:p>
    <w:p w14:paraId="324B4DB6" w14:textId="11F5A44E" w:rsidR="003F6D56" w:rsidRPr="0013341C" w:rsidRDefault="000827BB" w:rsidP="007234EF">
      <w:pPr>
        <w:pStyle w:val="ListParagraph"/>
        <w:numPr>
          <w:ilvl w:val="0"/>
          <w:numId w:val="20"/>
        </w:numPr>
        <w:suppressAutoHyphens/>
        <w:autoSpaceDN w:val="0"/>
        <w:spacing w:after="0" w:line="240" w:lineRule="auto"/>
        <w:contextualSpacing w:val="0"/>
        <w:textAlignment w:val="baseline"/>
        <w:rPr>
          <w:rFonts w:ascii="Century Gothic" w:hAnsi="Century Gothic" w:cs="Open Sans Light"/>
          <w:sz w:val="18"/>
          <w:szCs w:val="18"/>
        </w:rPr>
      </w:pPr>
      <w:r w:rsidRPr="0013341C">
        <w:rPr>
          <w:rFonts w:ascii="Century Gothic" w:hAnsi="Century Gothic" w:cs="Open Sans Light"/>
          <w:sz w:val="18"/>
          <w:szCs w:val="18"/>
        </w:rPr>
        <w:t>2</w:t>
      </w:r>
      <w:r w:rsidR="00D302EE" w:rsidRPr="0013341C">
        <w:rPr>
          <w:rFonts w:ascii="Century Gothic" w:hAnsi="Century Gothic" w:cs="Open Sans Light"/>
          <w:sz w:val="18"/>
          <w:szCs w:val="18"/>
        </w:rPr>
        <w:t>%</w:t>
      </w:r>
      <w:r w:rsidR="003F6D56" w:rsidRPr="0013341C">
        <w:rPr>
          <w:rFonts w:ascii="Century Gothic" w:hAnsi="Century Gothic" w:cs="Open Sans Light"/>
          <w:sz w:val="18"/>
          <w:szCs w:val="18"/>
        </w:rPr>
        <w:t xml:space="preserve"> on amounts you invest above £</w:t>
      </w:r>
      <w:r w:rsidR="00D302EE" w:rsidRPr="0013341C">
        <w:rPr>
          <w:rFonts w:ascii="Century Gothic" w:hAnsi="Century Gothic" w:cs="Open Sans Light"/>
          <w:sz w:val="18"/>
          <w:szCs w:val="18"/>
        </w:rPr>
        <w:t>1</w:t>
      </w:r>
      <w:r w:rsidR="00566F2D" w:rsidRPr="0013341C">
        <w:rPr>
          <w:rFonts w:ascii="Century Gothic" w:hAnsi="Century Gothic" w:cs="Open Sans Light"/>
          <w:sz w:val="18"/>
          <w:szCs w:val="18"/>
        </w:rPr>
        <w:t>50</w:t>
      </w:r>
      <w:r w:rsidR="00D302EE" w:rsidRPr="0013341C">
        <w:rPr>
          <w:rFonts w:ascii="Century Gothic" w:hAnsi="Century Gothic" w:cs="Open Sans Light"/>
          <w:sz w:val="18"/>
          <w:szCs w:val="18"/>
        </w:rPr>
        <w:t>,000</w:t>
      </w:r>
    </w:p>
    <w:p w14:paraId="0DF104BB" w14:textId="77777777" w:rsidR="003F6D56" w:rsidRPr="0013341C" w:rsidRDefault="003F6D56" w:rsidP="003F6D56">
      <w:pPr>
        <w:rPr>
          <w:rFonts w:ascii="Century Gothic" w:hAnsi="Century Gothic" w:cs="Open Sans Light"/>
          <w:sz w:val="18"/>
          <w:szCs w:val="18"/>
        </w:rPr>
      </w:pPr>
    </w:p>
    <w:tbl>
      <w:tblPr>
        <w:tblStyle w:val="TableGrid"/>
        <w:tblW w:w="5000" w:type="pct"/>
        <w:tblBorders>
          <w:top w:val="single" w:sz="4" w:space="0" w:color="99A4AC"/>
          <w:left w:val="single" w:sz="4" w:space="0" w:color="99A4AC"/>
          <w:bottom w:val="single" w:sz="4" w:space="0" w:color="99A4AC"/>
          <w:right w:val="single" w:sz="4" w:space="0" w:color="99A4AC"/>
          <w:insideH w:val="single" w:sz="4" w:space="0" w:color="99A4AC"/>
          <w:insideV w:val="single" w:sz="4" w:space="0" w:color="99A4AC"/>
        </w:tblBorders>
        <w:tblLook w:val="04A0" w:firstRow="1" w:lastRow="0" w:firstColumn="1" w:lastColumn="0" w:noHBand="0" w:noVBand="1"/>
      </w:tblPr>
      <w:tblGrid>
        <w:gridCol w:w="9373"/>
      </w:tblGrid>
      <w:tr w:rsidR="009C1062" w:rsidRPr="0013341C" w14:paraId="24331440" w14:textId="77777777" w:rsidTr="0003467F">
        <w:tc>
          <w:tcPr>
            <w:tcW w:w="9598" w:type="dxa"/>
            <w:shd w:val="clear" w:color="auto" w:fill="F2F2F2" w:themeFill="background1" w:themeFillShade="F2"/>
          </w:tcPr>
          <w:p w14:paraId="611557C2" w14:textId="77777777" w:rsidR="003F6D56" w:rsidRPr="0013341C" w:rsidRDefault="003F6D56" w:rsidP="0003467F">
            <w:pPr>
              <w:rPr>
                <w:rFonts w:ascii="Century Gothic" w:hAnsi="Century Gothic" w:cs="Open Sans Light"/>
                <w:b/>
                <w:bCs/>
                <w:sz w:val="18"/>
                <w:szCs w:val="18"/>
              </w:rPr>
            </w:pPr>
            <w:r w:rsidRPr="0013341C">
              <w:rPr>
                <w:rFonts w:ascii="Century Gothic" w:hAnsi="Century Gothic" w:cs="Open Sans Light"/>
                <w:b/>
                <w:bCs/>
                <w:sz w:val="18"/>
                <w:szCs w:val="18"/>
              </w:rPr>
              <w:t>Example fees</w:t>
            </w:r>
          </w:p>
          <w:p w14:paraId="72EC0982" w14:textId="088D01F3" w:rsidR="00566F2D" w:rsidRPr="0013341C" w:rsidRDefault="003F6D56" w:rsidP="0003467F">
            <w:pPr>
              <w:rPr>
                <w:rFonts w:ascii="Century Gothic" w:hAnsi="Century Gothic" w:cs="Open Sans Light"/>
                <w:sz w:val="18"/>
                <w:szCs w:val="18"/>
              </w:rPr>
            </w:pPr>
            <w:r w:rsidRPr="0013341C">
              <w:rPr>
                <w:rFonts w:ascii="Century Gothic" w:hAnsi="Century Gothic" w:cs="Open Sans Light"/>
                <w:sz w:val="18"/>
                <w:szCs w:val="18"/>
              </w:rPr>
              <w:t>To make it clear and easy to apply to your own circumstances, we have set out below what our fees would be on different investment amounts:</w:t>
            </w:r>
          </w:p>
          <w:p w14:paraId="1304DAC1" w14:textId="39AF25A4" w:rsidR="00773C41" w:rsidRPr="0013341C" w:rsidRDefault="006C692F" w:rsidP="00AE7787">
            <w:pPr>
              <w:pStyle w:val="ListParagraph"/>
              <w:numPr>
                <w:ilvl w:val="0"/>
                <w:numId w:val="21"/>
              </w:numPr>
              <w:suppressAutoHyphens/>
              <w:autoSpaceDN w:val="0"/>
              <w:spacing w:after="0" w:line="240" w:lineRule="auto"/>
              <w:contextualSpacing w:val="0"/>
              <w:textAlignment w:val="baseline"/>
              <w:rPr>
                <w:rFonts w:ascii="Century Gothic" w:hAnsi="Century Gothic" w:cs="Open Sans Light"/>
                <w:sz w:val="18"/>
                <w:szCs w:val="18"/>
              </w:rPr>
            </w:pPr>
            <w:r w:rsidRPr="0013341C">
              <w:rPr>
                <w:rFonts w:ascii="Century Gothic" w:hAnsi="Century Gothic" w:cs="Open Sans Light"/>
                <w:sz w:val="18"/>
                <w:szCs w:val="18"/>
              </w:rPr>
              <w:t>£50,000 invested, the fee would be £</w:t>
            </w:r>
            <w:r w:rsidR="00566F2D" w:rsidRPr="0013341C">
              <w:rPr>
                <w:rFonts w:ascii="Century Gothic" w:hAnsi="Century Gothic" w:cs="Open Sans Light"/>
                <w:sz w:val="18"/>
                <w:szCs w:val="18"/>
              </w:rPr>
              <w:t>2</w:t>
            </w:r>
            <w:r w:rsidRPr="0013341C">
              <w:rPr>
                <w:rFonts w:ascii="Century Gothic" w:hAnsi="Century Gothic" w:cs="Open Sans Light"/>
                <w:sz w:val="18"/>
                <w:szCs w:val="18"/>
              </w:rPr>
              <w:t>,</w:t>
            </w:r>
            <w:r w:rsidR="00566F2D" w:rsidRPr="0013341C">
              <w:rPr>
                <w:rFonts w:ascii="Century Gothic" w:hAnsi="Century Gothic" w:cs="Open Sans Light"/>
                <w:sz w:val="18"/>
                <w:szCs w:val="18"/>
              </w:rPr>
              <w:t>0</w:t>
            </w:r>
            <w:r w:rsidRPr="0013341C">
              <w:rPr>
                <w:rFonts w:ascii="Century Gothic" w:hAnsi="Century Gothic" w:cs="Open Sans Light"/>
                <w:sz w:val="18"/>
                <w:szCs w:val="18"/>
              </w:rPr>
              <w:t xml:space="preserve">00, which represents </w:t>
            </w:r>
            <w:r w:rsidR="00566F2D" w:rsidRPr="0013341C">
              <w:rPr>
                <w:rFonts w:ascii="Century Gothic" w:hAnsi="Century Gothic" w:cs="Open Sans Light"/>
                <w:sz w:val="18"/>
                <w:szCs w:val="18"/>
              </w:rPr>
              <w:t>4</w:t>
            </w:r>
            <w:r w:rsidRPr="0013341C">
              <w:rPr>
                <w:rFonts w:ascii="Century Gothic" w:hAnsi="Century Gothic" w:cs="Open Sans Light"/>
                <w:sz w:val="18"/>
                <w:szCs w:val="18"/>
              </w:rPr>
              <w:t>% of the amount invested</w:t>
            </w:r>
          </w:p>
          <w:p w14:paraId="11D5D4FA" w14:textId="7EFB346B" w:rsidR="003F6D56" w:rsidRPr="0013341C" w:rsidRDefault="009F318D" w:rsidP="007234EF">
            <w:pPr>
              <w:pStyle w:val="ListParagraph"/>
              <w:numPr>
                <w:ilvl w:val="0"/>
                <w:numId w:val="21"/>
              </w:numPr>
              <w:suppressAutoHyphens/>
              <w:autoSpaceDN w:val="0"/>
              <w:spacing w:after="0" w:line="240" w:lineRule="auto"/>
              <w:contextualSpacing w:val="0"/>
              <w:textAlignment w:val="baseline"/>
              <w:rPr>
                <w:rFonts w:ascii="Century Gothic" w:hAnsi="Century Gothic" w:cs="Open Sans Light"/>
                <w:sz w:val="18"/>
                <w:szCs w:val="18"/>
              </w:rPr>
            </w:pPr>
            <w:r w:rsidRPr="0013341C">
              <w:rPr>
                <w:rFonts w:ascii="Century Gothic" w:hAnsi="Century Gothic" w:cs="Open Sans Light"/>
                <w:sz w:val="18"/>
                <w:szCs w:val="18"/>
              </w:rPr>
              <w:t>£</w:t>
            </w:r>
            <w:r w:rsidR="00566F2D" w:rsidRPr="0013341C">
              <w:rPr>
                <w:rFonts w:ascii="Century Gothic" w:hAnsi="Century Gothic" w:cs="Open Sans Light"/>
                <w:sz w:val="18"/>
                <w:szCs w:val="18"/>
              </w:rPr>
              <w:t>100,000</w:t>
            </w:r>
            <w:r w:rsidR="003F6D56" w:rsidRPr="0013341C">
              <w:rPr>
                <w:rFonts w:ascii="Century Gothic" w:hAnsi="Century Gothic" w:cs="Open Sans Light"/>
                <w:sz w:val="18"/>
                <w:szCs w:val="18"/>
              </w:rPr>
              <w:t xml:space="preserve"> invested, the fee would be £</w:t>
            </w:r>
            <w:r w:rsidR="00A715E1" w:rsidRPr="0013341C">
              <w:rPr>
                <w:rFonts w:ascii="Century Gothic" w:hAnsi="Century Gothic" w:cs="Open Sans Light"/>
                <w:sz w:val="18"/>
                <w:szCs w:val="18"/>
              </w:rPr>
              <w:t>3,500,</w:t>
            </w:r>
            <w:r w:rsidR="003F6D56" w:rsidRPr="0013341C">
              <w:rPr>
                <w:rFonts w:ascii="Century Gothic" w:hAnsi="Century Gothic" w:cs="Open Sans Light"/>
                <w:sz w:val="18"/>
                <w:szCs w:val="18"/>
              </w:rPr>
              <w:t xml:space="preserve"> which represents </w:t>
            </w:r>
            <w:r w:rsidR="00A715E1" w:rsidRPr="0013341C">
              <w:rPr>
                <w:rFonts w:ascii="Century Gothic" w:hAnsi="Century Gothic" w:cs="Open Sans Light"/>
                <w:sz w:val="18"/>
                <w:szCs w:val="18"/>
              </w:rPr>
              <w:t>3.5</w:t>
            </w:r>
            <w:r w:rsidR="003F6D56" w:rsidRPr="0013341C">
              <w:rPr>
                <w:rFonts w:ascii="Century Gothic" w:hAnsi="Century Gothic" w:cs="Open Sans Light"/>
                <w:sz w:val="18"/>
                <w:szCs w:val="18"/>
              </w:rPr>
              <w:t>% of the amount invested</w:t>
            </w:r>
            <w:r w:rsidR="00566F2D" w:rsidRPr="0013341C">
              <w:rPr>
                <w:rFonts w:ascii="Century Gothic" w:hAnsi="Century Gothic" w:cs="Open Sans Light"/>
                <w:sz w:val="18"/>
                <w:szCs w:val="18"/>
              </w:rPr>
              <w:br/>
            </w:r>
            <w:proofErr w:type="gramStart"/>
            <w:r w:rsidR="00566F2D" w:rsidRPr="0013341C">
              <w:rPr>
                <w:rFonts w:ascii="Century Gothic" w:hAnsi="Century Gothic" w:cs="Open Sans Light"/>
                <w:sz w:val="18"/>
                <w:szCs w:val="18"/>
              </w:rPr>
              <w:t>e.g.</w:t>
            </w:r>
            <w:proofErr w:type="gramEnd"/>
            <w:r w:rsidR="00566F2D" w:rsidRPr="0013341C">
              <w:rPr>
                <w:rFonts w:ascii="Century Gothic" w:hAnsi="Century Gothic" w:cs="Open Sans Light"/>
                <w:sz w:val="18"/>
                <w:szCs w:val="18"/>
              </w:rPr>
              <w:t xml:space="preserve"> 4</w:t>
            </w:r>
            <w:r w:rsidR="00A715E1" w:rsidRPr="0013341C">
              <w:rPr>
                <w:rFonts w:ascii="Century Gothic" w:hAnsi="Century Gothic" w:cs="Open Sans Light"/>
                <w:sz w:val="18"/>
                <w:szCs w:val="18"/>
              </w:rPr>
              <w:t>%</w:t>
            </w:r>
            <w:r w:rsidR="00566F2D" w:rsidRPr="0013341C">
              <w:rPr>
                <w:rFonts w:ascii="Century Gothic" w:hAnsi="Century Gothic" w:cs="Open Sans Light"/>
                <w:sz w:val="18"/>
                <w:szCs w:val="18"/>
              </w:rPr>
              <w:t xml:space="preserve"> of the first £50,000 (£2,000) + 3% of the next £50,000 (</w:t>
            </w:r>
            <w:r w:rsidR="00A715E1" w:rsidRPr="0013341C">
              <w:rPr>
                <w:rFonts w:ascii="Century Gothic" w:hAnsi="Century Gothic" w:cs="Open Sans Light"/>
                <w:sz w:val="18"/>
                <w:szCs w:val="18"/>
              </w:rPr>
              <w:t>£1,500) = £3,500</w:t>
            </w:r>
          </w:p>
          <w:p w14:paraId="3F61168C" w14:textId="0DFBBA43" w:rsidR="00A715E1" w:rsidRPr="0013341C" w:rsidRDefault="003F6D56" w:rsidP="00A715E1">
            <w:pPr>
              <w:pStyle w:val="ListParagraph"/>
              <w:numPr>
                <w:ilvl w:val="0"/>
                <w:numId w:val="21"/>
              </w:numPr>
              <w:suppressAutoHyphens/>
              <w:autoSpaceDN w:val="0"/>
              <w:spacing w:after="0" w:line="240" w:lineRule="auto"/>
              <w:contextualSpacing w:val="0"/>
              <w:textAlignment w:val="baseline"/>
              <w:rPr>
                <w:rFonts w:ascii="Century Gothic" w:hAnsi="Century Gothic" w:cs="Open Sans Light"/>
                <w:sz w:val="18"/>
                <w:szCs w:val="18"/>
              </w:rPr>
            </w:pPr>
            <w:r w:rsidRPr="0013341C">
              <w:rPr>
                <w:rFonts w:ascii="Century Gothic" w:hAnsi="Century Gothic" w:cs="Open Sans Light"/>
                <w:sz w:val="18"/>
                <w:szCs w:val="18"/>
              </w:rPr>
              <w:t>£</w:t>
            </w:r>
            <w:r w:rsidR="00463178" w:rsidRPr="0013341C">
              <w:rPr>
                <w:rFonts w:ascii="Century Gothic" w:hAnsi="Century Gothic" w:cs="Open Sans Light"/>
                <w:sz w:val="18"/>
                <w:szCs w:val="18"/>
              </w:rPr>
              <w:t>15</w:t>
            </w:r>
            <w:r w:rsidR="00A715E1" w:rsidRPr="0013341C">
              <w:rPr>
                <w:rFonts w:ascii="Century Gothic" w:hAnsi="Century Gothic" w:cs="Open Sans Light"/>
                <w:sz w:val="18"/>
                <w:szCs w:val="18"/>
              </w:rPr>
              <w:t>0</w:t>
            </w:r>
            <w:r w:rsidR="00463178" w:rsidRPr="0013341C">
              <w:rPr>
                <w:rFonts w:ascii="Century Gothic" w:hAnsi="Century Gothic" w:cs="Open Sans Light"/>
                <w:sz w:val="18"/>
                <w:szCs w:val="18"/>
              </w:rPr>
              <w:t>,000</w:t>
            </w:r>
            <w:r w:rsidRPr="0013341C">
              <w:rPr>
                <w:rFonts w:ascii="Century Gothic" w:hAnsi="Century Gothic" w:cs="Open Sans Light"/>
                <w:sz w:val="18"/>
                <w:szCs w:val="18"/>
              </w:rPr>
              <w:t xml:space="preserve"> invested, the fee would be £</w:t>
            </w:r>
            <w:r w:rsidR="00463178" w:rsidRPr="0013341C">
              <w:rPr>
                <w:rFonts w:ascii="Century Gothic" w:hAnsi="Century Gothic" w:cs="Open Sans Light"/>
                <w:sz w:val="18"/>
                <w:szCs w:val="18"/>
              </w:rPr>
              <w:t>3,250</w:t>
            </w:r>
            <w:r w:rsidR="00A715E1" w:rsidRPr="0013341C">
              <w:rPr>
                <w:rFonts w:ascii="Century Gothic" w:hAnsi="Century Gothic" w:cs="Open Sans Light"/>
                <w:sz w:val="18"/>
                <w:szCs w:val="18"/>
              </w:rPr>
              <w:t>,</w:t>
            </w:r>
            <w:r w:rsidRPr="0013341C">
              <w:rPr>
                <w:rFonts w:ascii="Century Gothic" w:hAnsi="Century Gothic" w:cs="Open Sans Light"/>
                <w:sz w:val="18"/>
                <w:szCs w:val="18"/>
              </w:rPr>
              <w:t xml:space="preserve"> which represents </w:t>
            </w:r>
            <w:r w:rsidR="00B27CB4" w:rsidRPr="0013341C">
              <w:rPr>
                <w:rFonts w:ascii="Century Gothic" w:hAnsi="Century Gothic" w:cs="Open Sans Light"/>
                <w:sz w:val="18"/>
                <w:szCs w:val="18"/>
              </w:rPr>
              <w:t>3.1</w:t>
            </w:r>
            <w:r w:rsidR="00F644B0" w:rsidRPr="0013341C">
              <w:rPr>
                <w:rFonts w:ascii="Century Gothic" w:hAnsi="Century Gothic" w:cs="Open Sans Light"/>
                <w:sz w:val="18"/>
                <w:szCs w:val="18"/>
              </w:rPr>
              <w:t>6</w:t>
            </w:r>
            <w:r w:rsidRPr="0013341C">
              <w:rPr>
                <w:rFonts w:ascii="Century Gothic" w:hAnsi="Century Gothic" w:cs="Open Sans Light"/>
                <w:sz w:val="18"/>
                <w:szCs w:val="18"/>
              </w:rPr>
              <w:t>% of the amount invested</w:t>
            </w:r>
            <w:r w:rsidR="00A715E1" w:rsidRPr="0013341C">
              <w:rPr>
                <w:rFonts w:ascii="Century Gothic" w:hAnsi="Century Gothic" w:cs="Open Sans Light"/>
                <w:sz w:val="18"/>
                <w:szCs w:val="18"/>
              </w:rPr>
              <w:br/>
            </w:r>
            <w:proofErr w:type="gramStart"/>
            <w:r w:rsidR="00A715E1" w:rsidRPr="0013341C">
              <w:rPr>
                <w:rFonts w:ascii="Century Gothic" w:hAnsi="Century Gothic" w:cs="Open Sans Light"/>
                <w:sz w:val="18"/>
                <w:szCs w:val="18"/>
              </w:rPr>
              <w:t>e.g.</w:t>
            </w:r>
            <w:proofErr w:type="gramEnd"/>
            <w:r w:rsidR="00A715E1" w:rsidRPr="0013341C">
              <w:rPr>
                <w:rFonts w:ascii="Century Gothic" w:hAnsi="Century Gothic" w:cs="Open Sans Light"/>
                <w:sz w:val="18"/>
                <w:szCs w:val="18"/>
              </w:rPr>
              <w:t xml:space="preserve"> 4% of the first £50,000 (£2,000) + 3% of the next £50,000 (£1,500) + 2.5% of the next £50,000 (£1,250) = £4,750</w:t>
            </w:r>
          </w:p>
          <w:p w14:paraId="0BF42CEA" w14:textId="5B73B311" w:rsidR="002B097D" w:rsidRPr="0013341C" w:rsidRDefault="002B097D" w:rsidP="00A230C4">
            <w:pPr>
              <w:pStyle w:val="ListParagraph"/>
              <w:numPr>
                <w:ilvl w:val="0"/>
                <w:numId w:val="21"/>
              </w:numPr>
              <w:suppressAutoHyphens/>
              <w:autoSpaceDN w:val="0"/>
              <w:spacing w:after="0" w:line="240" w:lineRule="auto"/>
              <w:contextualSpacing w:val="0"/>
              <w:textAlignment w:val="baseline"/>
              <w:rPr>
                <w:rFonts w:ascii="Century Gothic" w:hAnsi="Century Gothic" w:cs="Open Sans Light"/>
                <w:sz w:val="18"/>
                <w:szCs w:val="18"/>
              </w:rPr>
            </w:pPr>
            <w:r w:rsidRPr="0013341C">
              <w:rPr>
                <w:rFonts w:ascii="Century Gothic" w:hAnsi="Century Gothic" w:cs="Open Sans Light"/>
                <w:sz w:val="18"/>
                <w:szCs w:val="18"/>
              </w:rPr>
              <w:t>£</w:t>
            </w:r>
            <w:r w:rsidR="00F644B0" w:rsidRPr="0013341C">
              <w:rPr>
                <w:rFonts w:ascii="Century Gothic" w:hAnsi="Century Gothic" w:cs="Open Sans Light"/>
                <w:sz w:val="18"/>
                <w:szCs w:val="18"/>
              </w:rPr>
              <w:t>200</w:t>
            </w:r>
            <w:r w:rsidRPr="0013341C">
              <w:rPr>
                <w:rFonts w:ascii="Century Gothic" w:hAnsi="Century Gothic" w:cs="Open Sans Light"/>
                <w:sz w:val="18"/>
                <w:szCs w:val="18"/>
              </w:rPr>
              <w:t xml:space="preserve">,000 </w:t>
            </w:r>
            <w:r w:rsidR="00F644B0" w:rsidRPr="0013341C">
              <w:rPr>
                <w:rFonts w:ascii="Century Gothic" w:hAnsi="Century Gothic" w:cs="Open Sans Light"/>
                <w:sz w:val="18"/>
                <w:szCs w:val="18"/>
              </w:rPr>
              <w:t xml:space="preserve">and above </w:t>
            </w:r>
            <w:r w:rsidRPr="0013341C">
              <w:rPr>
                <w:rFonts w:ascii="Century Gothic" w:hAnsi="Century Gothic" w:cs="Open Sans Light"/>
                <w:sz w:val="18"/>
                <w:szCs w:val="18"/>
              </w:rPr>
              <w:t>invested, the fee would be £3,250, which represents 2.</w:t>
            </w:r>
            <w:r w:rsidR="00F644B0" w:rsidRPr="0013341C">
              <w:rPr>
                <w:rFonts w:ascii="Century Gothic" w:hAnsi="Century Gothic" w:cs="Open Sans Light"/>
                <w:sz w:val="18"/>
                <w:szCs w:val="18"/>
              </w:rPr>
              <w:t>87</w:t>
            </w:r>
            <w:r w:rsidRPr="0013341C">
              <w:rPr>
                <w:rFonts w:ascii="Century Gothic" w:hAnsi="Century Gothic" w:cs="Open Sans Light"/>
                <w:sz w:val="18"/>
                <w:szCs w:val="18"/>
              </w:rPr>
              <w:t>% of the amount invested</w:t>
            </w:r>
            <w:r w:rsidR="00F644B0" w:rsidRPr="0013341C">
              <w:rPr>
                <w:rFonts w:ascii="Century Gothic" w:hAnsi="Century Gothic" w:cs="Open Sans Light"/>
                <w:sz w:val="18"/>
                <w:szCs w:val="18"/>
              </w:rPr>
              <w:t xml:space="preserve"> </w:t>
            </w:r>
            <w:proofErr w:type="gramStart"/>
            <w:r w:rsidRPr="0013341C">
              <w:rPr>
                <w:rFonts w:ascii="Century Gothic" w:hAnsi="Century Gothic" w:cs="Open Sans Light"/>
                <w:sz w:val="18"/>
                <w:szCs w:val="18"/>
              </w:rPr>
              <w:t>e.g.</w:t>
            </w:r>
            <w:proofErr w:type="gramEnd"/>
            <w:r w:rsidRPr="0013341C">
              <w:rPr>
                <w:rFonts w:ascii="Century Gothic" w:hAnsi="Century Gothic" w:cs="Open Sans Light"/>
                <w:sz w:val="18"/>
                <w:szCs w:val="18"/>
              </w:rPr>
              <w:t xml:space="preserve"> 4% of the first £50,000 (£2,000) + 3% of the next £50,000 (£1,500) + 2.5% of the next £50,000 (£1,250) </w:t>
            </w:r>
            <w:r w:rsidR="00B27CB4" w:rsidRPr="0013341C">
              <w:rPr>
                <w:rFonts w:ascii="Century Gothic" w:hAnsi="Century Gothic" w:cs="Open Sans Light"/>
                <w:sz w:val="18"/>
                <w:szCs w:val="18"/>
              </w:rPr>
              <w:t>+ 2% on the next £</w:t>
            </w:r>
            <w:r w:rsidR="00F644B0" w:rsidRPr="0013341C">
              <w:rPr>
                <w:rFonts w:ascii="Century Gothic" w:hAnsi="Century Gothic" w:cs="Open Sans Light"/>
                <w:sz w:val="18"/>
                <w:szCs w:val="18"/>
              </w:rPr>
              <w:t xml:space="preserve">50,000 (£1,000) = £5,750 </w:t>
            </w:r>
          </w:p>
          <w:p w14:paraId="0E531401" w14:textId="77777777" w:rsidR="003F6D56" w:rsidRPr="0013341C" w:rsidRDefault="003F6D56" w:rsidP="006C692F">
            <w:pPr>
              <w:pStyle w:val="ListParagraph"/>
              <w:suppressAutoHyphens/>
              <w:autoSpaceDN w:val="0"/>
              <w:spacing w:after="0" w:line="240" w:lineRule="auto"/>
              <w:contextualSpacing w:val="0"/>
              <w:textAlignment w:val="baseline"/>
              <w:rPr>
                <w:rFonts w:ascii="Century Gothic" w:hAnsi="Century Gothic" w:cs="Open Sans Light"/>
                <w:b/>
                <w:bCs/>
                <w:sz w:val="12"/>
                <w:szCs w:val="12"/>
              </w:rPr>
            </w:pPr>
          </w:p>
        </w:tc>
      </w:tr>
    </w:tbl>
    <w:p w14:paraId="569CA354" w14:textId="77777777" w:rsidR="003F6D56" w:rsidRPr="00F453A9" w:rsidRDefault="003F6D56" w:rsidP="003F6D56">
      <w:pPr>
        <w:rPr>
          <w:rFonts w:ascii="Century Gothic" w:hAnsi="Century Gothic" w:cs="Open Sans Light"/>
          <w:b/>
          <w:bCs/>
          <w:sz w:val="18"/>
          <w:szCs w:val="18"/>
        </w:rPr>
      </w:pPr>
    </w:p>
    <w:p w14:paraId="4A56FCF6" w14:textId="77777777" w:rsidR="00F23D90" w:rsidRDefault="00F23D90" w:rsidP="003F6D56">
      <w:pPr>
        <w:rPr>
          <w:rFonts w:ascii="Century Gothic" w:hAnsi="Century Gothic" w:cs="Open Sans Light"/>
          <w:bCs/>
          <w:iCs/>
          <w:sz w:val="18"/>
          <w:szCs w:val="18"/>
        </w:rPr>
      </w:pPr>
    </w:p>
    <w:p w14:paraId="5232C3AD" w14:textId="70DC312A" w:rsidR="003F6D56" w:rsidRPr="00F453A9" w:rsidRDefault="003F6D56" w:rsidP="003F6D56">
      <w:pPr>
        <w:rPr>
          <w:rFonts w:ascii="Century Gothic" w:hAnsi="Century Gothic" w:cs="Open Sans Light"/>
          <w:noProof/>
          <w:color w:val="FF0000"/>
          <w:sz w:val="18"/>
          <w:szCs w:val="18"/>
        </w:rPr>
      </w:pPr>
      <w:r w:rsidRPr="00F453A9">
        <w:rPr>
          <w:rFonts w:ascii="Century Gothic" w:hAnsi="Century Gothic" w:cs="Open Sans Light"/>
          <w:bCs/>
          <w:iCs/>
          <w:sz w:val="18"/>
          <w:szCs w:val="18"/>
        </w:rPr>
        <w:t>If we recommend multiple products but implement these over an extended period, the total investment amount will be used to calculate any advice fees.</w:t>
      </w:r>
      <w:r w:rsidRPr="00F453A9">
        <w:rPr>
          <w:rFonts w:ascii="Century Gothic" w:hAnsi="Century Gothic" w:cs="Open Sans Light"/>
          <w:noProof/>
          <w:color w:val="FF0000"/>
          <w:sz w:val="18"/>
          <w:szCs w:val="18"/>
        </w:rPr>
        <w:t xml:space="preserve"> </w:t>
      </w:r>
    </w:p>
    <w:p w14:paraId="3F36D79C" w14:textId="01DC6715" w:rsidR="000A021D" w:rsidRPr="00CF2C08" w:rsidRDefault="003F6D56" w:rsidP="003F6D56">
      <w:pPr>
        <w:rPr>
          <w:rFonts w:ascii="Century Gothic" w:hAnsi="Century Gothic" w:cs="Open Sans Light"/>
          <w:sz w:val="18"/>
          <w:szCs w:val="18"/>
        </w:rPr>
      </w:pPr>
      <w:r w:rsidRPr="00F453A9">
        <w:rPr>
          <w:rFonts w:ascii="Century Gothic" w:hAnsi="Century Gothic" w:cs="Open Sans Light"/>
          <w:sz w:val="18"/>
          <w:szCs w:val="18"/>
        </w:rPr>
        <w:t xml:space="preserve"> </w:t>
      </w:r>
    </w:p>
    <w:p w14:paraId="3D057CFF" w14:textId="0FCE9CAA" w:rsidR="003F6D56" w:rsidRPr="00F453A9" w:rsidRDefault="003F6D56" w:rsidP="003F6D56">
      <w:pPr>
        <w:rPr>
          <w:rFonts w:ascii="Century Gothic" w:hAnsi="Century Gothic" w:cs="Open Sans Light"/>
          <w:b/>
          <w:bCs/>
          <w:sz w:val="18"/>
          <w:szCs w:val="18"/>
        </w:rPr>
      </w:pPr>
      <w:r w:rsidRPr="00F453A9">
        <w:rPr>
          <w:rFonts w:ascii="Century Gothic" w:hAnsi="Century Gothic" w:cs="Open Sans Light"/>
          <w:b/>
          <w:bCs/>
          <w:sz w:val="18"/>
          <w:szCs w:val="18"/>
        </w:rPr>
        <w:t xml:space="preserve">How the advice fee applies to regular contributions </w:t>
      </w:r>
    </w:p>
    <w:p w14:paraId="16990507" w14:textId="77777777" w:rsidR="003F6D56" w:rsidRPr="00F453A9" w:rsidRDefault="003F6D56" w:rsidP="003F6D56">
      <w:pPr>
        <w:rPr>
          <w:rFonts w:ascii="Century Gothic" w:hAnsi="Century Gothic" w:cs="Open Sans Light"/>
          <w:b/>
          <w:bCs/>
          <w:szCs w:val="20"/>
        </w:rPr>
      </w:pPr>
    </w:p>
    <w:p w14:paraId="076299F0" w14:textId="7BB38E01" w:rsidR="003F6D56" w:rsidRPr="00702EB2" w:rsidRDefault="003F6D56" w:rsidP="003F6D56">
      <w:pPr>
        <w:rPr>
          <w:rFonts w:ascii="Century Gothic" w:hAnsi="Century Gothic" w:cs="Open Sans Light"/>
          <w:sz w:val="18"/>
          <w:szCs w:val="18"/>
        </w:rPr>
      </w:pPr>
      <w:r w:rsidRPr="00F453A9">
        <w:rPr>
          <w:rFonts w:ascii="Century Gothic" w:hAnsi="Century Gothic" w:cs="Open Sans Light"/>
          <w:sz w:val="18"/>
          <w:szCs w:val="18"/>
        </w:rPr>
        <w:t xml:space="preserve">If you pay into your investment regularly, the fee you pay will be based on the level of your monthly contributions for the first 12 months. This amount then determines the level of fee as per the lump sums table </w:t>
      </w:r>
      <w:r w:rsidRPr="00702EB2">
        <w:rPr>
          <w:rFonts w:ascii="Century Gothic" w:hAnsi="Century Gothic" w:cs="Open Sans Light"/>
          <w:sz w:val="18"/>
          <w:szCs w:val="18"/>
        </w:rPr>
        <w:t>above</w:t>
      </w:r>
      <w:r w:rsidR="00E840A3" w:rsidRPr="00702EB2">
        <w:rPr>
          <w:rFonts w:ascii="Century Gothic" w:hAnsi="Century Gothic" w:cs="Open Sans Light"/>
          <w:sz w:val="18"/>
          <w:szCs w:val="18"/>
        </w:rPr>
        <w:t xml:space="preserve"> and is capped at that </w:t>
      </w:r>
      <w:r w:rsidR="00CC4EFE" w:rsidRPr="00702EB2">
        <w:rPr>
          <w:rFonts w:ascii="Century Gothic" w:hAnsi="Century Gothic" w:cs="Open Sans Light"/>
          <w:sz w:val="18"/>
          <w:szCs w:val="18"/>
        </w:rPr>
        <w:t>level for consistency.</w:t>
      </w:r>
    </w:p>
    <w:p w14:paraId="6CB84F19" w14:textId="77777777" w:rsidR="003F6D56" w:rsidRPr="00702EB2" w:rsidRDefault="003F6D56" w:rsidP="003F6D56">
      <w:pPr>
        <w:rPr>
          <w:rFonts w:ascii="Century Gothic" w:hAnsi="Century Gothic" w:cs="Open Sans Light"/>
          <w:sz w:val="18"/>
          <w:szCs w:val="18"/>
        </w:rPr>
      </w:pPr>
    </w:p>
    <w:p w14:paraId="75BF53C9" w14:textId="6A6760C3" w:rsidR="003F6D56" w:rsidRPr="00702EB2" w:rsidRDefault="003F6D56" w:rsidP="003F6D56">
      <w:pPr>
        <w:rPr>
          <w:rFonts w:ascii="Century Gothic" w:hAnsi="Century Gothic" w:cs="Open Sans Light"/>
          <w:sz w:val="18"/>
          <w:szCs w:val="18"/>
        </w:rPr>
      </w:pPr>
      <w:r w:rsidRPr="00702EB2">
        <w:rPr>
          <w:rFonts w:ascii="Century Gothic" w:hAnsi="Century Gothic" w:cs="Open Sans Light"/>
          <w:sz w:val="18"/>
          <w:szCs w:val="18"/>
        </w:rPr>
        <w:t>You can pay your advice fee monthly over the first 12 months</w:t>
      </w:r>
      <w:r w:rsidR="00A47524" w:rsidRPr="00702EB2">
        <w:rPr>
          <w:rFonts w:ascii="Century Gothic" w:hAnsi="Century Gothic" w:cs="Open Sans Light"/>
          <w:sz w:val="18"/>
          <w:szCs w:val="18"/>
        </w:rPr>
        <w:t xml:space="preserve"> or in one payment </w:t>
      </w:r>
      <w:r w:rsidR="006E27CA" w:rsidRPr="00702EB2">
        <w:rPr>
          <w:rFonts w:ascii="Century Gothic" w:hAnsi="Century Gothic" w:cs="Open Sans Light"/>
          <w:sz w:val="18"/>
          <w:szCs w:val="18"/>
        </w:rPr>
        <w:t xml:space="preserve">either </w:t>
      </w:r>
      <w:r w:rsidR="00A47524" w:rsidRPr="00702EB2">
        <w:rPr>
          <w:rFonts w:ascii="Century Gothic" w:hAnsi="Century Gothic" w:cs="Open Sans Light"/>
          <w:sz w:val="18"/>
          <w:szCs w:val="18"/>
        </w:rPr>
        <w:t>direct to us or facilitated by your provider from your funds.</w:t>
      </w:r>
    </w:p>
    <w:p w14:paraId="47FE40D4" w14:textId="77777777" w:rsidR="003F6D56" w:rsidRPr="00F453A9" w:rsidRDefault="003F6D56" w:rsidP="003F6D56">
      <w:pPr>
        <w:rPr>
          <w:rFonts w:ascii="Century Gothic" w:hAnsi="Century Gothic" w:cs="Open Sans Light"/>
          <w:b/>
          <w:bCs/>
          <w:szCs w:val="20"/>
        </w:rPr>
      </w:pPr>
    </w:p>
    <w:p w14:paraId="0009D3C5" w14:textId="50B5C2A5" w:rsidR="003F6D56" w:rsidRPr="0022785D" w:rsidRDefault="003F6D56" w:rsidP="003F6D56">
      <w:pPr>
        <w:rPr>
          <w:rFonts w:ascii="Century Gothic" w:hAnsi="Century Gothic" w:cs="Open Sans Light"/>
          <w:sz w:val="18"/>
          <w:szCs w:val="18"/>
        </w:rPr>
      </w:pPr>
      <w:r w:rsidRPr="0022785D">
        <w:rPr>
          <w:rFonts w:ascii="Century Gothic" w:hAnsi="Century Gothic" w:cs="Open Sans Light"/>
          <w:sz w:val="18"/>
          <w:szCs w:val="18"/>
        </w:rPr>
        <w:t xml:space="preserve">Our typical fee is </w:t>
      </w:r>
      <w:r w:rsidR="00A56F77">
        <w:rPr>
          <w:rFonts w:ascii="Century Gothic" w:hAnsi="Century Gothic" w:cs="Open Sans Light"/>
          <w:sz w:val="18"/>
          <w:szCs w:val="18"/>
        </w:rPr>
        <w:t>4</w:t>
      </w:r>
      <w:r w:rsidRPr="0022785D">
        <w:rPr>
          <w:rFonts w:ascii="Century Gothic" w:hAnsi="Century Gothic" w:cs="Open Sans Light"/>
          <w:sz w:val="18"/>
          <w:szCs w:val="18"/>
        </w:rPr>
        <w:t xml:space="preserve">% of the first year’s contributions. </w:t>
      </w:r>
    </w:p>
    <w:p w14:paraId="2114232B" w14:textId="77777777" w:rsidR="00AA0668" w:rsidRPr="0022785D" w:rsidRDefault="00AA0668" w:rsidP="003F6D56">
      <w:pPr>
        <w:rPr>
          <w:rFonts w:ascii="Century Gothic" w:hAnsi="Century Gothic" w:cs="Open Sans Light"/>
          <w:color w:val="EE0000"/>
          <w:sz w:val="18"/>
          <w:szCs w:val="18"/>
        </w:rPr>
      </w:pPr>
    </w:p>
    <w:tbl>
      <w:tblPr>
        <w:tblStyle w:val="TableGrid2"/>
        <w:tblW w:w="9598" w:type="dxa"/>
        <w:tblInd w:w="-147" w:type="dxa"/>
        <w:tblBorders>
          <w:top w:val="single" w:sz="4" w:space="0" w:color="99A4AC"/>
          <w:left w:val="single" w:sz="4" w:space="0" w:color="99A4AC"/>
          <w:bottom w:val="single" w:sz="4" w:space="0" w:color="99A4AC"/>
          <w:right w:val="single" w:sz="4" w:space="0" w:color="99A4AC"/>
          <w:insideH w:val="single" w:sz="4" w:space="0" w:color="99A4AC"/>
          <w:insideV w:val="single" w:sz="4" w:space="0" w:color="99A4AC"/>
        </w:tblBorders>
        <w:tblLook w:val="04A0" w:firstRow="1" w:lastRow="0" w:firstColumn="1" w:lastColumn="0" w:noHBand="0" w:noVBand="1"/>
      </w:tblPr>
      <w:tblGrid>
        <w:gridCol w:w="9598"/>
      </w:tblGrid>
      <w:tr w:rsidR="00E1531A" w:rsidRPr="009D1CE8" w14:paraId="436C3ED8" w14:textId="77777777" w:rsidTr="00AA0668">
        <w:trPr>
          <w:trHeight w:val="878"/>
        </w:trPr>
        <w:tc>
          <w:tcPr>
            <w:tcW w:w="9598" w:type="dxa"/>
            <w:shd w:val="clear" w:color="auto" w:fill="F2F2F2" w:themeFill="background1" w:themeFillShade="F2"/>
          </w:tcPr>
          <w:p w14:paraId="7B0221DB" w14:textId="77777777" w:rsidR="00AA0668" w:rsidRPr="0013341C" w:rsidRDefault="00AA0668" w:rsidP="00AA0668">
            <w:pPr>
              <w:rPr>
                <w:b/>
                <w:bCs/>
                <w:sz w:val="18"/>
                <w:szCs w:val="18"/>
                <w:lang w:val="en-GB" w:eastAsia="en-GB"/>
              </w:rPr>
            </w:pPr>
            <w:r w:rsidRPr="0013341C">
              <w:rPr>
                <w:b/>
                <w:bCs/>
                <w:sz w:val="18"/>
                <w:szCs w:val="18"/>
                <w:lang w:eastAsia="en-GB"/>
              </w:rPr>
              <w:lastRenderedPageBreak/>
              <w:t>Example fees</w:t>
            </w:r>
          </w:p>
          <w:p w14:paraId="1BD9BBBB" w14:textId="39ED922D" w:rsidR="00AA0668" w:rsidRPr="0013341C" w:rsidRDefault="00AA0668" w:rsidP="00AA0668">
            <w:pPr>
              <w:rPr>
                <w:b/>
                <w:bCs/>
                <w:sz w:val="18"/>
                <w:szCs w:val="18"/>
                <w:lang w:eastAsia="en-GB"/>
              </w:rPr>
            </w:pPr>
            <w:r w:rsidRPr="0013341C">
              <w:rPr>
                <w:sz w:val="18"/>
                <w:szCs w:val="18"/>
                <w:lang w:eastAsia="en-GB"/>
              </w:rPr>
              <w:t>As an example, for a regular contribution of £</w:t>
            </w:r>
            <w:r w:rsidR="00A56F77" w:rsidRPr="0013341C">
              <w:rPr>
                <w:sz w:val="18"/>
                <w:szCs w:val="18"/>
                <w:lang w:eastAsia="en-GB"/>
              </w:rPr>
              <w:t>1000</w:t>
            </w:r>
            <w:r w:rsidRPr="0013341C">
              <w:rPr>
                <w:sz w:val="18"/>
                <w:szCs w:val="18"/>
                <w:lang w:eastAsia="en-GB"/>
              </w:rPr>
              <w:t xml:space="preserve"> per month, your advice fee would be £</w:t>
            </w:r>
            <w:r w:rsidR="00A56F77" w:rsidRPr="0013341C">
              <w:rPr>
                <w:sz w:val="18"/>
                <w:szCs w:val="18"/>
                <w:lang w:eastAsia="en-GB"/>
              </w:rPr>
              <w:t>480</w:t>
            </w:r>
            <w:r w:rsidR="0013341C">
              <w:rPr>
                <w:sz w:val="18"/>
                <w:szCs w:val="18"/>
                <w:lang w:eastAsia="en-GB"/>
              </w:rPr>
              <w:t>,</w:t>
            </w:r>
            <w:r w:rsidRPr="0013341C">
              <w:rPr>
                <w:sz w:val="18"/>
                <w:szCs w:val="18"/>
                <w:lang w:eastAsia="en-GB"/>
              </w:rPr>
              <w:t xml:space="preserve"> subject to our minimum fees of £2</w:t>
            </w:r>
            <w:r w:rsidR="004229CD" w:rsidRPr="0013341C">
              <w:rPr>
                <w:sz w:val="18"/>
                <w:szCs w:val="18"/>
                <w:lang w:eastAsia="en-GB"/>
              </w:rPr>
              <w:t>95</w:t>
            </w:r>
            <w:r w:rsidRPr="0013341C">
              <w:rPr>
                <w:sz w:val="18"/>
                <w:szCs w:val="18"/>
                <w:lang w:eastAsia="en-GB"/>
              </w:rPr>
              <w:t>.  </w:t>
            </w:r>
          </w:p>
          <w:p w14:paraId="0B03C170" w14:textId="77777777" w:rsidR="00AA0668" w:rsidRPr="0013341C" w:rsidRDefault="00AA0668" w:rsidP="00AA0668">
            <w:pPr>
              <w:rPr>
                <w:sz w:val="18"/>
                <w:szCs w:val="18"/>
                <w:lang w:eastAsia="en-GB"/>
              </w:rPr>
            </w:pPr>
          </w:p>
          <w:p w14:paraId="60AC0C99" w14:textId="2539BDF6" w:rsidR="00E1531A" w:rsidRPr="00AA0668" w:rsidRDefault="00AA0668" w:rsidP="00A45075">
            <w:pPr>
              <w:rPr>
                <w:rFonts w:cs="Open Sans Light"/>
                <w:color w:val="EE0000"/>
                <w:sz w:val="18"/>
                <w:szCs w:val="18"/>
              </w:rPr>
            </w:pPr>
            <w:r w:rsidRPr="0013341C">
              <w:rPr>
                <w:sz w:val="18"/>
                <w:szCs w:val="18"/>
                <w:lang w:eastAsia="en-GB"/>
              </w:rPr>
              <w:t>For a regular contribution of £2000 per month, your advice fee would be £</w:t>
            </w:r>
            <w:r w:rsidR="00A56F77" w:rsidRPr="0013341C">
              <w:rPr>
                <w:sz w:val="18"/>
                <w:szCs w:val="18"/>
                <w:lang w:eastAsia="en-GB"/>
              </w:rPr>
              <w:t>960</w:t>
            </w:r>
            <w:r w:rsidR="0013341C">
              <w:rPr>
                <w:b/>
                <w:bCs/>
                <w:sz w:val="18"/>
                <w:szCs w:val="18"/>
                <w:lang w:eastAsia="en-GB"/>
              </w:rPr>
              <w:t>.</w:t>
            </w:r>
          </w:p>
        </w:tc>
      </w:tr>
    </w:tbl>
    <w:p w14:paraId="60867612" w14:textId="77777777" w:rsidR="003F6D56" w:rsidRPr="006B440D" w:rsidRDefault="003F6D56" w:rsidP="003F6D56">
      <w:pPr>
        <w:rPr>
          <w:rFonts w:ascii="Century Gothic" w:hAnsi="Century Gothic" w:cs="Open Sans Light"/>
          <w:b/>
          <w:bCs/>
          <w:sz w:val="18"/>
          <w:szCs w:val="18"/>
        </w:rPr>
      </w:pPr>
    </w:p>
    <w:p w14:paraId="2D2D79FC" w14:textId="2F4BD039" w:rsidR="00A663B2" w:rsidRPr="00A663B2" w:rsidRDefault="00A663B2" w:rsidP="00A663B2">
      <w:pPr>
        <w:rPr>
          <w:rFonts w:ascii="Century Gothic" w:hAnsi="Century Gothic" w:cs="Open Sans Light"/>
          <w:color w:val="FF0000"/>
          <w:sz w:val="18"/>
          <w:szCs w:val="18"/>
        </w:rPr>
      </w:pPr>
      <w:r w:rsidRPr="00A663B2">
        <w:rPr>
          <w:rFonts w:ascii="Century Gothic" w:hAnsi="Century Gothic" w:cs="Open Sans Light"/>
          <w:b/>
          <w:bCs/>
          <w:sz w:val="18"/>
          <w:szCs w:val="18"/>
        </w:rPr>
        <w:t>Fixed fee</w:t>
      </w:r>
    </w:p>
    <w:p w14:paraId="44AD86B2" w14:textId="77777777" w:rsidR="00A663B2" w:rsidRPr="00A663B2" w:rsidRDefault="00A663B2" w:rsidP="00A663B2">
      <w:pPr>
        <w:rPr>
          <w:rFonts w:ascii="Century Gothic" w:hAnsi="Century Gothic" w:cs="Open Sans Light"/>
          <w:sz w:val="18"/>
          <w:szCs w:val="18"/>
        </w:rPr>
      </w:pPr>
    </w:p>
    <w:p w14:paraId="7EE07305" w14:textId="2B036ED3" w:rsidR="00A663B2" w:rsidRPr="00A663B2" w:rsidRDefault="00A663B2" w:rsidP="00A663B2">
      <w:pPr>
        <w:rPr>
          <w:rFonts w:ascii="Century Gothic" w:hAnsi="Century Gothic" w:cs="Open Sans Light"/>
          <w:sz w:val="18"/>
          <w:szCs w:val="18"/>
        </w:rPr>
      </w:pPr>
      <w:r w:rsidRPr="00A663B2">
        <w:rPr>
          <w:rFonts w:ascii="Century Gothic" w:hAnsi="Century Gothic" w:cs="Open Sans Light"/>
          <w:sz w:val="18"/>
          <w:szCs w:val="18"/>
        </w:rPr>
        <w:t xml:space="preserve">We offer a range of advice services at fixed rates, set after initial consultation. We will agree to the fixed rate </w:t>
      </w:r>
      <w:r>
        <w:rPr>
          <w:rFonts w:ascii="Century Gothic" w:hAnsi="Century Gothic" w:cs="Open Sans Light"/>
          <w:sz w:val="18"/>
          <w:szCs w:val="18"/>
        </w:rPr>
        <w:t xml:space="preserve">with you </w:t>
      </w:r>
      <w:r w:rsidRPr="00A663B2">
        <w:rPr>
          <w:rFonts w:ascii="Century Gothic" w:hAnsi="Century Gothic" w:cs="Open Sans Light"/>
          <w:sz w:val="18"/>
          <w:szCs w:val="18"/>
        </w:rPr>
        <w:t xml:space="preserve">before performing any work on your behalf. </w:t>
      </w:r>
    </w:p>
    <w:p w14:paraId="744F25D2" w14:textId="77777777" w:rsidR="00A663B2" w:rsidRDefault="00A663B2" w:rsidP="00A663B2">
      <w:pPr>
        <w:rPr>
          <w:rFonts w:ascii="Century Gothic" w:hAnsi="Century Gothic" w:cs="Open Sans Light"/>
          <w:sz w:val="18"/>
          <w:szCs w:val="18"/>
        </w:rPr>
      </w:pPr>
    </w:p>
    <w:p w14:paraId="501545D0" w14:textId="3DBF7097" w:rsidR="00A663B2" w:rsidRPr="00A663B2" w:rsidRDefault="00A663B2" w:rsidP="00A663B2">
      <w:pPr>
        <w:rPr>
          <w:rFonts w:ascii="Century Gothic" w:hAnsi="Century Gothic" w:cs="Open Sans Light"/>
          <w:sz w:val="18"/>
          <w:szCs w:val="18"/>
        </w:rPr>
      </w:pPr>
      <w:r w:rsidRPr="00A663B2">
        <w:rPr>
          <w:rFonts w:ascii="Century Gothic" w:hAnsi="Century Gothic" w:cs="Open Sans Light"/>
          <w:sz w:val="18"/>
          <w:szCs w:val="18"/>
        </w:rPr>
        <w:t>Typically, our fixed rate for a Financial Review is £1,500.  This includes:</w:t>
      </w:r>
    </w:p>
    <w:p w14:paraId="5B240CA9" w14:textId="77777777" w:rsidR="00A663B2" w:rsidRPr="00A663B2" w:rsidRDefault="00A663B2" w:rsidP="00A663B2">
      <w:pPr>
        <w:rPr>
          <w:rFonts w:ascii="Open Sans Light" w:hAnsi="Open Sans Light" w:cs="Open Sans Light"/>
          <w:sz w:val="18"/>
          <w:szCs w:val="18"/>
        </w:rPr>
      </w:pPr>
    </w:p>
    <w:p w14:paraId="153409DF" w14:textId="77777777" w:rsidR="003F6D56" w:rsidRPr="00F453A9" w:rsidRDefault="003F6D56" w:rsidP="007234EF">
      <w:pPr>
        <w:pStyle w:val="ListParagraph"/>
        <w:numPr>
          <w:ilvl w:val="0"/>
          <w:numId w:val="24"/>
        </w:numPr>
        <w:suppressAutoHyphens/>
        <w:spacing w:after="0" w:line="240" w:lineRule="auto"/>
        <w:contextualSpacing w:val="0"/>
        <w:rPr>
          <w:rFonts w:ascii="Century Gothic" w:hAnsi="Century Gothic" w:cs="Open Sans Light"/>
          <w:sz w:val="18"/>
          <w:szCs w:val="18"/>
        </w:rPr>
      </w:pPr>
      <w:r w:rsidRPr="00F453A9">
        <w:rPr>
          <w:rFonts w:ascii="Century Gothic" w:hAnsi="Century Gothic" w:cs="Open Sans Light"/>
          <w:sz w:val="18"/>
          <w:szCs w:val="18"/>
        </w:rPr>
        <w:t xml:space="preserve">A fully documented review of your assets, liabilities, and net worth. </w:t>
      </w:r>
    </w:p>
    <w:p w14:paraId="086B678A" w14:textId="77777777" w:rsidR="003F6D56" w:rsidRPr="00F453A9" w:rsidRDefault="003F6D56" w:rsidP="007234EF">
      <w:pPr>
        <w:pStyle w:val="ListParagraph"/>
        <w:numPr>
          <w:ilvl w:val="0"/>
          <w:numId w:val="24"/>
        </w:numPr>
        <w:suppressAutoHyphens/>
        <w:spacing w:after="0" w:line="240" w:lineRule="auto"/>
        <w:contextualSpacing w:val="0"/>
        <w:rPr>
          <w:rFonts w:ascii="Century Gothic" w:hAnsi="Century Gothic" w:cs="Open Sans Light"/>
          <w:sz w:val="18"/>
          <w:szCs w:val="18"/>
        </w:rPr>
      </w:pPr>
      <w:r w:rsidRPr="00F453A9">
        <w:rPr>
          <w:rFonts w:ascii="Century Gothic" w:hAnsi="Century Gothic" w:cs="Open Sans Light"/>
          <w:sz w:val="18"/>
          <w:szCs w:val="18"/>
        </w:rPr>
        <w:t>Your current and projected income and expenses (</w:t>
      </w:r>
      <w:proofErr w:type="gramStart"/>
      <w:r w:rsidRPr="00F453A9">
        <w:rPr>
          <w:rFonts w:ascii="Century Gothic" w:hAnsi="Century Gothic" w:cs="Open Sans Light"/>
          <w:sz w:val="18"/>
          <w:szCs w:val="18"/>
        </w:rPr>
        <w:t>e.g.</w:t>
      </w:r>
      <w:proofErr w:type="gramEnd"/>
      <w:r w:rsidRPr="00F453A9">
        <w:rPr>
          <w:rFonts w:ascii="Century Gothic" w:hAnsi="Century Gothic" w:cs="Open Sans Light"/>
          <w:sz w:val="18"/>
          <w:szCs w:val="18"/>
        </w:rPr>
        <w:t xml:space="preserve"> projected into retirement).</w:t>
      </w:r>
    </w:p>
    <w:p w14:paraId="1B6FBD1A" w14:textId="77777777" w:rsidR="003F6D56" w:rsidRPr="00F453A9" w:rsidRDefault="003F6D56" w:rsidP="007234EF">
      <w:pPr>
        <w:pStyle w:val="ListParagraph"/>
        <w:numPr>
          <w:ilvl w:val="0"/>
          <w:numId w:val="24"/>
        </w:numPr>
        <w:suppressAutoHyphens/>
        <w:spacing w:after="0" w:line="240" w:lineRule="auto"/>
        <w:contextualSpacing w:val="0"/>
        <w:rPr>
          <w:rFonts w:ascii="Century Gothic" w:hAnsi="Century Gothic" w:cs="Open Sans Light"/>
          <w:sz w:val="18"/>
          <w:szCs w:val="18"/>
        </w:rPr>
      </w:pPr>
      <w:r w:rsidRPr="00F453A9">
        <w:rPr>
          <w:rFonts w:ascii="Century Gothic" w:hAnsi="Century Gothic" w:cs="Open Sans Light"/>
          <w:sz w:val="18"/>
          <w:szCs w:val="18"/>
        </w:rPr>
        <w:t>Your insurance policies, retirement savings, and other investments.</w:t>
      </w:r>
    </w:p>
    <w:p w14:paraId="28B6491E" w14:textId="77777777" w:rsidR="003F6D56" w:rsidRPr="00F453A9" w:rsidRDefault="003F6D56" w:rsidP="007234EF">
      <w:pPr>
        <w:pStyle w:val="ListParagraph"/>
        <w:numPr>
          <w:ilvl w:val="0"/>
          <w:numId w:val="24"/>
        </w:numPr>
        <w:suppressAutoHyphens/>
        <w:spacing w:after="0" w:line="240" w:lineRule="auto"/>
        <w:contextualSpacing w:val="0"/>
        <w:rPr>
          <w:rFonts w:ascii="Century Gothic" w:hAnsi="Century Gothic" w:cs="Open Sans Light"/>
          <w:sz w:val="18"/>
          <w:szCs w:val="18"/>
        </w:rPr>
      </w:pPr>
      <w:r w:rsidRPr="00F453A9">
        <w:rPr>
          <w:rFonts w:ascii="Century Gothic" w:hAnsi="Century Gothic" w:cs="Open Sans Light"/>
          <w:sz w:val="18"/>
          <w:szCs w:val="18"/>
        </w:rPr>
        <w:t>An analysis of your current product and fund features and your estimated inheritance tax liability, with generic recommendations to meet your broad financial objectives.</w:t>
      </w:r>
    </w:p>
    <w:p w14:paraId="741FBFFD" w14:textId="77777777" w:rsidR="003F6D56" w:rsidRPr="00F453A9" w:rsidRDefault="003F6D56" w:rsidP="003F6D56">
      <w:pPr>
        <w:rPr>
          <w:rFonts w:ascii="Century Gothic" w:hAnsi="Century Gothic" w:cs="Open Sans Light"/>
          <w:szCs w:val="20"/>
        </w:rPr>
      </w:pPr>
    </w:p>
    <w:p w14:paraId="36460FC7" w14:textId="77777777" w:rsidR="003F6D56" w:rsidRPr="00F453A9" w:rsidRDefault="003F6D56" w:rsidP="003F6D56">
      <w:pPr>
        <w:rPr>
          <w:rFonts w:ascii="Century Gothic" w:hAnsi="Century Gothic" w:cs="Open Sans Light"/>
          <w:b/>
          <w:bCs/>
          <w:sz w:val="18"/>
          <w:szCs w:val="18"/>
        </w:rPr>
      </w:pPr>
      <w:r w:rsidRPr="00F453A9">
        <w:rPr>
          <w:rFonts w:ascii="Century Gothic" w:hAnsi="Century Gothic" w:cs="Open Sans Light"/>
          <w:b/>
          <w:bCs/>
          <w:sz w:val="18"/>
          <w:szCs w:val="18"/>
        </w:rPr>
        <w:t>Your proportionate fees if you cancel your advice service</w:t>
      </w:r>
    </w:p>
    <w:p w14:paraId="38D8189D" w14:textId="77777777" w:rsidR="003F6D56" w:rsidRPr="00F453A9" w:rsidRDefault="003F6D56" w:rsidP="003F6D56">
      <w:pPr>
        <w:rPr>
          <w:rFonts w:ascii="Century Gothic" w:hAnsi="Century Gothic" w:cs="Open Sans Light"/>
          <w:b/>
          <w:bCs/>
          <w:szCs w:val="20"/>
        </w:rPr>
      </w:pPr>
    </w:p>
    <w:p w14:paraId="55351846" w14:textId="77777777" w:rsidR="003F6D56" w:rsidRPr="00F453A9" w:rsidRDefault="003F6D56" w:rsidP="003F6D56">
      <w:pPr>
        <w:rPr>
          <w:rFonts w:ascii="Century Gothic" w:hAnsi="Century Gothic" w:cs="Open Sans Light"/>
          <w:sz w:val="18"/>
          <w:szCs w:val="18"/>
        </w:rPr>
      </w:pPr>
      <w:r w:rsidRPr="00F453A9">
        <w:rPr>
          <w:rFonts w:ascii="Century Gothic" w:hAnsi="Century Gothic" w:cs="Open Sans Light"/>
          <w:sz w:val="18"/>
          <w:szCs w:val="18"/>
        </w:rPr>
        <w:t>We always aim to provide you with the highest quality service and advice to help you achieve your financial goals.</w:t>
      </w:r>
    </w:p>
    <w:p w14:paraId="70F11C14" w14:textId="77777777" w:rsidR="003F6D56" w:rsidRPr="00F453A9" w:rsidRDefault="003F6D56" w:rsidP="003F6D56">
      <w:pPr>
        <w:rPr>
          <w:rFonts w:ascii="Century Gothic" w:hAnsi="Century Gothic" w:cs="Open Sans Light"/>
          <w:sz w:val="18"/>
          <w:szCs w:val="18"/>
        </w:rPr>
      </w:pPr>
    </w:p>
    <w:p w14:paraId="6CCF259F" w14:textId="77777777" w:rsidR="003F6D56" w:rsidRPr="00F453A9" w:rsidRDefault="003F6D56" w:rsidP="003F6D56">
      <w:pPr>
        <w:rPr>
          <w:rFonts w:ascii="Century Gothic" w:hAnsi="Century Gothic"/>
          <w:color w:val="FF0000"/>
        </w:rPr>
      </w:pPr>
      <w:r w:rsidRPr="00F453A9">
        <w:rPr>
          <w:rFonts w:ascii="Century Gothic" w:hAnsi="Century Gothic" w:cs="Open Sans Light"/>
          <w:sz w:val="18"/>
          <w:szCs w:val="18"/>
        </w:rPr>
        <w:t xml:space="preserve">However, should a situation occur where you need to ask us to stop work after agreeing fees with us, you will be invoiced proportionately for the work completed up until that point. We will advise you of this amount when you contact us. </w:t>
      </w:r>
    </w:p>
    <w:p w14:paraId="61E3366D" w14:textId="77777777" w:rsidR="003F6D56" w:rsidRPr="00F453A9" w:rsidRDefault="003F6D56" w:rsidP="003F6D56">
      <w:pPr>
        <w:rPr>
          <w:rFonts w:ascii="Century Gothic" w:hAnsi="Century Gothic" w:cs="Open Sans Light"/>
          <w:b/>
          <w:bCs/>
          <w:szCs w:val="20"/>
        </w:rPr>
      </w:pPr>
    </w:p>
    <w:p w14:paraId="64ABE291" w14:textId="77777777" w:rsidR="003F6D56" w:rsidRPr="00F453A9" w:rsidRDefault="003F6D56" w:rsidP="003F6D56">
      <w:pPr>
        <w:rPr>
          <w:rFonts w:ascii="Century Gothic" w:hAnsi="Century Gothic" w:cs="Open Sans Light"/>
          <w:b/>
          <w:bCs/>
          <w:szCs w:val="20"/>
        </w:rPr>
      </w:pPr>
      <w:bookmarkStart w:id="1" w:name="_Hlk200722949"/>
      <w:r w:rsidRPr="00F453A9">
        <w:rPr>
          <w:rFonts w:ascii="Century Gothic" w:hAnsi="Century Gothic" w:cs="Open Sans Light"/>
          <w:b/>
          <w:bCs/>
          <w:szCs w:val="20"/>
        </w:rPr>
        <w:t>Ongoing advice fees for monitoring &amp; maintaining your plans</w:t>
      </w:r>
      <w:r w:rsidRPr="00F453A9" w:rsidDel="0099457F">
        <w:rPr>
          <w:rFonts w:ascii="Century Gothic" w:hAnsi="Century Gothic" w:cs="Open Sans Light"/>
          <w:b/>
          <w:bCs/>
          <w:szCs w:val="20"/>
        </w:rPr>
        <w:t xml:space="preserve"> </w:t>
      </w:r>
    </w:p>
    <w:p w14:paraId="311FAEE4" w14:textId="77777777" w:rsidR="003F6D56" w:rsidRPr="00F453A9" w:rsidRDefault="003F6D56" w:rsidP="003F6D56">
      <w:pPr>
        <w:rPr>
          <w:rFonts w:ascii="Century Gothic" w:hAnsi="Century Gothic"/>
          <w:color w:val="0070C0"/>
          <w:szCs w:val="20"/>
        </w:rPr>
      </w:pPr>
      <w:bookmarkStart w:id="2" w:name="_Hlk192147518"/>
    </w:p>
    <w:bookmarkEnd w:id="2"/>
    <w:p w14:paraId="27852EFB" w14:textId="77777777" w:rsidR="003F6D56" w:rsidRPr="00F453A9" w:rsidRDefault="003F6D56" w:rsidP="003F6D56">
      <w:pPr>
        <w:rPr>
          <w:rFonts w:ascii="Century Gothic" w:hAnsi="Century Gothic" w:cs="Open Sans Light"/>
          <w:sz w:val="18"/>
          <w:szCs w:val="18"/>
        </w:rPr>
      </w:pPr>
      <w:r w:rsidRPr="00F453A9">
        <w:rPr>
          <w:rFonts w:ascii="Century Gothic" w:hAnsi="Century Gothic" w:cs="Open Sans Light"/>
          <w:sz w:val="18"/>
          <w:szCs w:val="18"/>
        </w:rPr>
        <w:t xml:space="preserve">Where recommended by their adviser, many clients choose to opt into our ongoing advice service to ensure their financial plans remain on-track to meet their financial goals. </w:t>
      </w:r>
    </w:p>
    <w:p w14:paraId="3B6817F8" w14:textId="77777777" w:rsidR="003F6D56" w:rsidRPr="00F453A9" w:rsidRDefault="003F6D56" w:rsidP="003F6D56">
      <w:pPr>
        <w:rPr>
          <w:rFonts w:ascii="Century Gothic" w:hAnsi="Century Gothic" w:cs="Open Sans Light"/>
          <w:sz w:val="18"/>
          <w:szCs w:val="18"/>
        </w:rPr>
      </w:pPr>
    </w:p>
    <w:p w14:paraId="236C5532" w14:textId="77777777" w:rsidR="003F6D56" w:rsidRPr="00F453A9" w:rsidRDefault="003F6D56" w:rsidP="003F6D56">
      <w:pPr>
        <w:rPr>
          <w:rFonts w:ascii="Century Gothic" w:hAnsi="Century Gothic" w:cs="Open Sans Light"/>
          <w:sz w:val="18"/>
          <w:szCs w:val="18"/>
        </w:rPr>
      </w:pPr>
      <w:r w:rsidRPr="00F453A9">
        <w:rPr>
          <w:rFonts w:ascii="Century Gothic" w:hAnsi="Century Gothic" w:cs="Open Sans Light"/>
          <w:sz w:val="18"/>
          <w:szCs w:val="18"/>
        </w:rPr>
        <w:t>Where we recommend that you’d benefit from ongoing advice, the different elements of this service are outlined below.</w:t>
      </w:r>
    </w:p>
    <w:p w14:paraId="0E0D1950" w14:textId="77777777" w:rsidR="003F6D56" w:rsidRPr="00F453A9" w:rsidRDefault="003F6D56" w:rsidP="003F6D56">
      <w:pPr>
        <w:rPr>
          <w:rFonts w:ascii="Century Gothic" w:hAnsi="Century Gothic" w:cs="Open Sans Light"/>
          <w:sz w:val="18"/>
          <w:szCs w:val="18"/>
        </w:rPr>
      </w:pPr>
    </w:p>
    <w:p w14:paraId="36FF5309" w14:textId="4332386A" w:rsidR="0013341C" w:rsidRDefault="003F6D56" w:rsidP="003F6D56">
      <w:pPr>
        <w:spacing w:after="120"/>
        <w:rPr>
          <w:rFonts w:ascii="Century Gothic" w:hAnsi="Century Gothic" w:cs="Open Sans Light"/>
          <w:sz w:val="18"/>
          <w:szCs w:val="18"/>
        </w:rPr>
      </w:pPr>
      <w:r w:rsidRPr="00F453A9">
        <w:rPr>
          <w:rFonts w:ascii="Century Gothic" w:hAnsi="Century Gothic" w:cs="Open Sans Light"/>
          <w:sz w:val="18"/>
          <w:szCs w:val="18"/>
        </w:rPr>
        <w:t>The service levels we offer are based on the value of assets under our advice. As the value of your assets change over time, you will have the option to consider switching to alternate service levels available to you at your next annual progress check meeting. Our ongoing advice fees will be adjusted accordingly once a new service level is agreed.</w:t>
      </w:r>
      <w:r w:rsidR="00E6328B">
        <w:rPr>
          <w:rFonts w:ascii="Century Gothic" w:hAnsi="Century Gothic" w:cs="Open Sans Light"/>
          <w:sz w:val="18"/>
          <w:szCs w:val="18"/>
        </w:rPr>
        <w:br/>
      </w:r>
    </w:p>
    <w:tbl>
      <w:tblPr>
        <w:tblW w:w="9498" w:type="dxa"/>
        <w:tblInd w:w="-5" w:type="dxa"/>
        <w:tblBorders>
          <w:top w:val="single" w:sz="4" w:space="0" w:color="99A4AC"/>
          <w:left w:val="single" w:sz="4" w:space="0" w:color="99A4AC"/>
          <w:bottom w:val="single" w:sz="4" w:space="0" w:color="99A4AC"/>
          <w:right w:val="single" w:sz="4" w:space="0" w:color="99A4AC"/>
          <w:insideH w:val="single" w:sz="4" w:space="0" w:color="99A4AC"/>
          <w:insideV w:val="single" w:sz="4" w:space="0" w:color="99A4AC"/>
        </w:tblBorders>
        <w:tblLayout w:type="fixed"/>
        <w:tblCellMar>
          <w:left w:w="0" w:type="dxa"/>
          <w:right w:w="0" w:type="dxa"/>
        </w:tblCellMar>
        <w:tblLook w:val="04A0" w:firstRow="1" w:lastRow="0" w:firstColumn="1" w:lastColumn="0" w:noHBand="0" w:noVBand="1"/>
      </w:tblPr>
      <w:tblGrid>
        <w:gridCol w:w="4795"/>
        <w:gridCol w:w="1584"/>
        <w:gridCol w:w="1559"/>
        <w:gridCol w:w="1560"/>
      </w:tblGrid>
      <w:tr w:rsidR="00E1542D" w:rsidRPr="00A56F77" w14:paraId="41F051E6" w14:textId="44098C37" w:rsidTr="00C91A8B">
        <w:tc>
          <w:tcPr>
            <w:tcW w:w="4795" w:type="dxa"/>
            <w:tcMar>
              <w:top w:w="0" w:type="dxa"/>
              <w:left w:w="108" w:type="dxa"/>
              <w:bottom w:w="0" w:type="dxa"/>
              <w:right w:w="108" w:type="dxa"/>
            </w:tcMar>
          </w:tcPr>
          <w:p w14:paraId="77B213E8" w14:textId="2B52C07D" w:rsidR="00E1542D" w:rsidRPr="00A56F77" w:rsidRDefault="00E1542D" w:rsidP="00E1542D">
            <w:pPr>
              <w:rPr>
                <w:rFonts w:ascii="Century Gothic" w:hAnsi="Century Gothic" w:cs="Open Sans Light"/>
                <w:color w:val="EE0000"/>
                <w:sz w:val="18"/>
                <w:szCs w:val="18"/>
              </w:rPr>
            </w:pPr>
            <w:r w:rsidRPr="00A56F77">
              <w:rPr>
                <w:rFonts w:ascii="Century Gothic" w:hAnsi="Century Gothic" w:cs="Open Sans Light"/>
                <w:color w:val="EE0000"/>
                <w:sz w:val="18"/>
                <w:szCs w:val="18"/>
              </w:rPr>
              <w:br/>
            </w:r>
          </w:p>
        </w:tc>
        <w:tc>
          <w:tcPr>
            <w:tcW w:w="1584" w:type="dxa"/>
            <w:tcMar>
              <w:top w:w="0" w:type="dxa"/>
              <w:left w:w="108" w:type="dxa"/>
              <w:bottom w:w="0" w:type="dxa"/>
              <w:right w:w="108" w:type="dxa"/>
            </w:tcMar>
            <w:hideMark/>
          </w:tcPr>
          <w:p w14:paraId="05B29ADA" w14:textId="6EDACA3E" w:rsidR="00E1542D" w:rsidRPr="0013341C" w:rsidRDefault="00E1542D" w:rsidP="00E1542D">
            <w:pPr>
              <w:jc w:val="center"/>
              <w:rPr>
                <w:rFonts w:ascii="Century Gothic" w:hAnsi="Century Gothic" w:cs="Open Sans Light"/>
                <w:b/>
                <w:bCs/>
                <w:sz w:val="18"/>
                <w:szCs w:val="18"/>
              </w:rPr>
            </w:pPr>
            <w:r w:rsidRPr="0013341C">
              <w:rPr>
                <w:rFonts w:ascii="Century Gothic" w:hAnsi="Century Gothic" w:cs="Open Sans Light"/>
                <w:b/>
                <w:bCs/>
                <w:sz w:val="18"/>
                <w:szCs w:val="18"/>
              </w:rPr>
              <w:t>Service Level 1 Exclusive</w:t>
            </w:r>
          </w:p>
        </w:tc>
        <w:tc>
          <w:tcPr>
            <w:tcW w:w="1559" w:type="dxa"/>
            <w:tcMar>
              <w:top w:w="0" w:type="dxa"/>
              <w:left w:w="108" w:type="dxa"/>
              <w:bottom w:w="0" w:type="dxa"/>
              <w:right w:w="108" w:type="dxa"/>
            </w:tcMar>
            <w:hideMark/>
          </w:tcPr>
          <w:p w14:paraId="2FEB6281" w14:textId="7D4D3311" w:rsidR="00E1542D" w:rsidRPr="0013341C" w:rsidRDefault="00E1542D" w:rsidP="00E1542D">
            <w:pPr>
              <w:jc w:val="center"/>
              <w:rPr>
                <w:rFonts w:ascii="Century Gothic" w:hAnsi="Century Gothic" w:cs="Open Sans Light"/>
                <w:sz w:val="18"/>
                <w:szCs w:val="18"/>
              </w:rPr>
            </w:pPr>
            <w:r w:rsidRPr="0013341C">
              <w:rPr>
                <w:rFonts w:ascii="Century Gothic" w:hAnsi="Century Gothic" w:cs="Open Sans Light"/>
                <w:b/>
                <w:bCs/>
                <w:sz w:val="18"/>
                <w:szCs w:val="18"/>
              </w:rPr>
              <w:t>Service Level 2 Classic</w:t>
            </w:r>
          </w:p>
        </w:tc>
        <w:tc>
          <w:tcPr>
            <w:tcW w:w="1560" w:type="dxa"/>
          </w:tcPr>
          <w:p w14:paraId="4B3AF424" w14:textId="77777777" w:rsidR="00E1542D" w:rsidRPr="0013341C" w:rsidRDefault="00E1542D" w:rsidP="00C91A8B">
            <w:pPr>
              <w:jc w:val="center"/>
              <w:rPr>
                <w:rFonts w:ascii="Century Gothic" w:hAnsi="Century Gothic" w:cs="Open Sans Light"/>
                <w:b/>
                <w:bCs/>
                <w:sz w:val="18"/>
                <w:szCs w:val="18"/>
              </w:rPr>
            </w:pPr>
            <w:r w:rsidRPr="0013341C">
              <w:rPr>
                <w:rFonts w:ascii="Century Gothic" w:hAnsi="Century Gothic" w:cs="Open Sans Light"/>
                <w:b/>
                <w:bCs/>
                <w:sz w:val="18"/>
                <w:szCs w:val="18"/>
              </w:rPr>
              <w:t>Service</w:t>
            </w:r>
            <w:r w:rsidR="00C91A8B" w:rsidRPr="0013341C">
              <w:rPr>
                <w:rFonts w:ascii="Century Gothic" w:hAnsi="Century Gothic" w:cs="Open Sans Light"/>
                <w:b/>
                <w:bCs/>
                <w:sz w:val="18"/>
                <w:szCs w:val="18"/>
              </w:rPr>
              <w:t xml:space="preserve"> </w:t>
            </w:r>
            <w:r w:rsidRPr="0013341C">
              <w:rPr>
                <w:rFonts w:ascii="Century Gothic" w:hAnsi="Century Gothic" w:cs="Open Sans Light"/>
                <w:b/>
                <w:bCs/>
                <w:sz w:val="18"/>
                <w:szCs w:val="18"/>
              </w:rPr>
              <w:t>Level 3</w:t>
            </w:r>
          </w:p>
          <w:p w14:paraId="3D54E8BB" w14:textId="6FD7A481" w:rsidR="00C91A8B" w:rsidRPr="0013341C" w:rsidRDefault="00C91A8B" w:rsidP="00C91A8B">
            <w:pPr>
              <w:jc w:val="center"/>
              <w:rPr>
                <w:rFonts w:ascii="Century Gothic" w:hAnsi="Century Gothic" w:cs="Open Sans Light"/>
                <w:b/>
                <w:bCs/>
                <w:sz w:val="18"/>
                <w:szCs w:val="18"/>
              </w:rPr>
            </w:pPr>
            <w:r w:rsidRPr="0013341C">
              <w:rPr>
                <w:rFonts w:ascii="Century Gothic" w:hAnsi="Century Gothic" w:cs="Open Sans Light"/>
                <w:b/>
                <w:bCs/>
                <w:sz w:val="18"/>
                <w:szCs w:val="18"/>
              </w:rPr>
              <w:t>Essential</w:t>
            </w:r>
          </w:p>
        </w:tc>
      </w:tr>
      <w:tr w:rsidR="00F23C67" w:rsidRPr="006B440D" w14:paraId="09801C1C" w14:textId="77777777" w:rsidTr="00F23C67">
        <w:tc>
          <w:tcPr>
            <w:tcW w:w="4795" w:type="dxa"/>
            <w:shd w:val="clear" w:color="auto" w:fill="D9D9D9" w:themeFill="background1" w:themeFillShade="D9"/>
            <w:tcMar>
              <w:top w:w="0" w:type="dxa"/>
              <w:left w:w="108" w:type="dxa"/>
              <w:bottom w:w="0" w:type="dxa"/>
              <w:right w:w="108" w:type="dxa"/>
            </w:tcMar>
          </w:tcPr>
          <w:p w14:paraId="6B27A3F0" w14:textId="7EA885A9" w:rsidR="00F23C67" w:rsidRPr="00F23C67" w:rsidRDefault="00F23C67" w:rsidP="00E1542D">
            <w:pPr>
              <w:rPr>
                <w:rFonts w:ascii="Century Gothic" w:hAnsi="Century Gothic" w:cs="Open Sans Light"/>
                <w:b/>
                <w:bCs/>
                <w:sz w:val="18"/>
                <w:szCs w:val="18"/>
              </w:rPr>
            </w:pPr>
            <w:r w:rsidRPr="00F23C67">
              <w:rPr>
                <w:rFonts w:ascii="Century Gothic" w:hAnsi="Century Gothic" w:cs="Open Sans Light"/>
                <w:b/>
                <w:bCs/>
                <w:sz w:val="18"/>
                <w:szCs w:val="18"/>
              </w:rPr>
              <w:t>Core services</w:t>
            </w:r>
          </w:p>
        </w:tc>
        <w:tc>
          <w:tcPr>
            <w:tcW w:w="1584" w:type="dxa"/>
            <w:shd w:val="clear" w:color="auto" w:fill="D9D9D9" w:themeFill="background1" w:themeFillShade="D9"/>
            <w:tcMar>
              <w:top w:w="0" w:type="dxa"/>
              <w:left w:w="108" w:type="dxa"/>
              <w:bottom w:w="0" w:type="dxa"/>
              <w:right w:w="108" w:type="dxa"/>
            </w:tcMar>
          </w:tcPr>
          <w:p w14:paraId="6AC925C5" w14:textId="77777777" w:rsidR="00F23C67" w:rsidRPr="006B440D" w:rsidRDefault="00F23C67" w:rsidP="00E1542D">
            <w:pPr>
              <w:jc w:val="center"/>
              <w:rPr>
                <w:rFonts w:ascii="Century Gothic" w:hAnsi="Century Gothic" w:cs="Open Sans Light"/>
                <w:b/>
                <w:bCs/>
                <w:sz w:val="18"/>
                <w:szCs w:val="18"/>
              </w:rPr>
            </w:pPr>
          </w:p>
        </w:tc>
        <w:tc>
          <w:tcPr>
            <w:tcW w:w="1559" w:type="dxa"/>
            <w:shd w:val="clear" w:color="auto" w:fill="D9D9D9" w:themeFill="background1" w:themeFillShade="D9"/>
            <w:tcMar>
              <w:top w:w="0" w:type="dxa"/>
              <w:left w:w="108" w:type="dxa"/>
              <w:bottom w:w="0" w:type="dxa"/>
              <w:right w:w="108" w:type="dxa"/>
            </w:tcMar>
          </w:tcPr>
          <w:p w14:paraId="41BAF2DF" w14:textId="77777777" w:rsidR="00F23C67" w:rsidRPr="006B440D" w:rsidRDefault="00F23C67" w:rsidP="00E1542D">
            <w:pPr>
              <w:jc w:val="center"/>
              <w:rPr>
                <w:rFonts w:ascii="Century Gothic" w:hAnsi="Century Gothic" w:cs="Open Sans Light"/>
                <w:b/>
                <w:bCs/>
                <w:sz w:val="18"/>
                <w:szCs w:val="18"/>
              </w:rPr>
            </w:pPr>
          </w:p>
        </w:tc>
        <w:tc>
          <w:tcPr>
            <w:tcW w:w="1560" w:type="dxa"/>
            <w:shd w:val="clear" w:color="auto" w:fill="D9D9D9" w:themeFill="background1" w:themeFillShade="D9"/>
          </w:tcPr>
          <w:p w14:paraId="3C043C0A" w14:textId="77777777" w:rsidR="00F23C67" w:rsidRPr="006B440D" w:rsidRDefault="00F23C67" w:rsidP="00C91A8B">
            <w:pPr>
              <w:jc w:val="center"/>
              <w:rPr>
                <w:rFonts w:ascii="Century Gothic" w:hAnsi="Century Gothic" w:cs="Open Sans Light"/>
                <w:b/>
                <w:bCs/>
                <w:sz w:val="18"/>
                <w:szCs w:val="18"/>
              </w:rPr>
            </w:pPr>
          </w:p>
        </w:tc>
      </w:tr>
      <w:tr w:rsidR="00E1542D" w:rsidRPr="00F453A9" w14:paraId="61BE91D5" w14:textId="4D49B0C4" w:rsidTr="00C91A8B">
        <w:tc>
          <w:tcPr>
            <w:tcW w:w="4795" w:type="dxa"/>
            <w:tcMar>
              <w:top w:w="0" w:type="dxa"/>
              <w:left w:w="108" w:type="dxa"/>
              <w:bottom w:w="0" w:type="dxa"/>
              <w:right w:w="108" w:type="dxa"/>
            </w:tcMar>
            <w:hideMark/>
          </w:tcPr>
          <w:p w14:paraId="47B491DD" w14:textId="77777777" w:rsidR="00E1542D" w:rsidRPr="00F453A9" w:rsidRDefault="00E1542D" w:rsidP="00E1542D">
            <w:pPr>
              <w:spacing w:before="120" w:line="276" w:lineRule="auto"/>
              <w:contextualSpacing/>
              <w:rPr>
                <w:rFonts w:ascii="Century Gothic" w:hAnsi="Century Gothic" w:cs="Open Sans Light"/>
                <w:sz w:val="18"/>
                <w:szCs w:val="18"/>
              </w:rPr>
            </w:pPr>
            <w:r w:rsidRPr="00F453A9">
              <w:rPr>
                <w:rFonts w:ascii="Century Gothic" w:hAnsi="Century Gothic" w:cs="Open Sans Light"/>
                <w:sz w:val="18"/>
                <w:szCs w:val="18"/>
              </w:rPr>
              <w:t>An annual Progress Check meeting to review your plans, current circumstances, and objectives to help ensure that your financial planning remains on track.</w:t>
            </w:r>
          </w:p>
        </w:tc>
        <w:tc>
          <w:tcPr>
            <w:tcW w:w="1584" w:type="dxa"/>
            <w:tcMar>
              <w:top w:w="0" w:type="dxa"/>
              <w:left w:w="108" w:type="dxa"/>
              <w:bottom w:w="0" w:type="dxa"/>
              <w:right w:w="108" w:type="dxa"/>
            </w:tcMar>
          </w:tcPr>
          <w:p w14:paraId="754C9E01" w14:textId="77777777" w:rsidR="00E1542D" w:rsidRPr="00F453A9" w:rsidRDefault="00E1542D" w:rsidP="00E1542D">
            <w:pPr>
              <w:pStyle w:val="ListParagraph"/>
              <w:numPr>
                <w:ilvl w:val="0"/>
                <w:numId w:val="27"/>
              </w:numPr>
              <w:autoSpaceDN w:val="0"/>
              <w:spacing w:after="0" w:line="240" w:lineRule="auto"/>
              <w:ind w:left="714" w:hanging="357"/>
              <w:contextualSpacing w:val="0"/>
              <w:jc w:val="center"/>
              <w:rPr>
                <w:rFonts w:ascii="Century Gothic" w:hAnsi="Century Gothic" w:cs="Open Sans Light"/>
                <w:sz w:val="18"/>
                <w:szCs w:val="18"/>
              </w:rPr>
            </w:pPr>
          </w:p>
        </w:tc>
        <w:tc>
          <w:tcPr>
            <w:tcW w:w="1559" w:type="dxa"/>
            <w:tcMar>
              <w:top w:w="0" w:type="dxa"/>
              <w:left w:w="108" w:type="dxa"/>
              <w:bottom w:w="0" w:type="dxa"/>
              <w:right w:w="108" w:type="dxa"/>
            </w:tcMar>
          </w:tcPr>
          <w:p w14:paraId="17567A96" w14:textId="77777777" w:rsidR="00E1542D" w:rsidRPr="00F453A9" w:rsidRDefault="00E1542D" w:rsidP="00E1542D">
            <w:pPr>
              <w:pStyle w:val="ListParagraph"/>
              <w:numPr>
                <w:ilvl w:val="0"/>
                <w:numId w:val="27"/>
              </w:numPr>
              <w:spacing w:after="0" w:line="240" w:lineRule="auto"/>
              <w:jc w:val="center"/>
              <w:rPr>
                <w:rFonts w:ascii="Century Gothic" w:hAnsi="Century Gothic" w:cs="Open Sans Light"/>
                <w:sz w:val="18"/>
                <w:szCs w:val="18"/>
              </w:rPr>
            </w:pPr>
          </w:p>
        </w:tc>
        <w:tc>
          <w:tcPr>
            <w:tcW w:w="1560" w:type="dxa"/>
          </w:tcPr>
          <w:p w14:paraId="1F0F387B" w14:textId="77777777" w:rsidR="00E1542D" w:rsidRPr="00F453A9" w:rsidRDefault="00E1542D" w:rsidP="00E1542D">
            <w:pPr>
              <w:pStyle w:val="ListParagraph"/>
              <w:numPr>
                <w:ilvl w:val="0"/>
                <w:numId w:val="27"/>
              </w:numPr>
              <w:spacing w:after="0" w:line="240" w:lineRule="auto"/>
              <w:jc w:val="center"/>
              <w:rPr>
                <w:rFonts w:ascii="Century Gothic" w:hAnsi="Century Gothic" w:cs="Open Sans Light"/>
                <w:sz w:val="18"/>
                <w:szCs w:val="18"/>
              </w:rPr>
            </w:pPr>
          </w:p>
        </w:tc>
      </w:tr>
      <w:tr w:rsidR="00E1542D" w:rsidRPr="00F453A9" w14:paraId="248EC5A6" w14:textId="49032A96" w:rsidTr="00C91A8B">
        <w:tc>
          <w:tcPr>
            <w:tcW w:w="4795" w:type="dxa"/>
            <w:tcMar>
              <w:top w:w="0" w:type="dxa"/>
              <w:left w:w="108" w:type="dxa"/>
              <w:bottom w:w="0" w:type="dxa"/>
              <w:right w:w="108" w:type="dxa"/>
            </w:tcMar>
            <w:hideMark/>
          </w:tcPr>
          <w:p w14:paraId="66ED7BCF" w14:textId="77777777" w:rsidR="00E1542D" w:rsidRPr="00F453A9" w:rsidRDefault="00E1542D" w:rsidP="00E1542D">
            <w:pPr>
              <w:spacing w:before="120" w:line="276" w:lineRule="auto"/>
              <w:contextualSpacing/>
              <w:rPr>
                <w:rFonts w:ascii="Century Gothic" w:hAnsi="Century Gothic" w:cs="Open Sans Light"/>
                <w:sz w:val="18"/>
                <w:szCs w:val="18"/>
              </w:rPr>
            </w:pPr>
            <w:r w:rsidRPr="00F453A9">
              <w:rPr>
                <w:rFonts w:ascii="Century Gothic" w:hAnsi="Century Gothic" w:cs="Open Sans Light"/>
                <w:sz w:val="18"/>
                <w:szCs w:val="18"/>
              </w:rPr>
              <w:t>You’ll receive a consolidated annual report of your plans and investments within the scope of our advice, so that you can see your current position and progress towards your objectives.</w:t>
            </w:r>
          </w:p>
        </w:tc>
        <w:tc>
          <w:tcPr>
            <w:tcW w:w="1584" w:type="dxa"/>
            <w:tcMar>
              <w:top w:w="0" w:type="dxa"/>
              <w:left w:w="108" w:type="dxa"/>
              <w:bottom w:w="0" w:type="dxa"/>
              <w:right w:w="108" w:type="dxa"/>
            </w:tcMar>
          </w:tcPr>
          <w:p w14:paraId="3FB38F76" w14:textId="77777777" w:rsidR="00E1542D" w:rsidRPr="00F453A9" w:rsidRDefault="00E1542D" w:rsidP="00E1542D">
            <w:pPr>
              <w:pStyle w:val="ListParagraph"/>
              <w:numPr>
                <w:ilvl w:val="0"/>
                <w:numId w:val="27"/>
              </w:numPr>
              <w:autoSpaceDN w:val="0"/>
              <w:spacing w:after="0" w:line="240" w:lineRule="auto"/>
              <w:ind w:left="714" w:hanging="357"/>
              <w:contextualSpacing w:val="0"/>
              <w:jc w:val="center"/>
              <w:rPr>
                <w:rFonts w:ascii="Century Gothic" w:hAnsi="Century Gothic" w:cs="Open Sans Light"/>
                <w:sz w:val="18"/>
                <w:szCs w:val="18"/>
              </w:rPr>
            </w:pPr>
          </w:p>
        </w:tc>
        <w:tc>
          <w:tcPr>
            <w:tcW w:w="1559" w:type="dxa"/>
            <w:tcMar>
              <w:top w:w="0" w:type="dxa"/>
              <w:left w:w="108" w:type="dxa"/>
              <w:bottom w:w="0" w:type="dxa"/>
              <w:right w:w="108" w:type="dxa"/>
            </w:tcMar>
          </w:tcPr>
          <w:p w14:paraId="669384D8" w14:textId="77777777" w:rsidR="00E1542D" w:rsidRPr="00F453A9" w:rsidRDefault="00E1542D" w:rsidP="00E1542D">
            <w:pPr>
              <w:pStyle w:val="ListParagraph"/>
              <w:numPr>
                <w:ilvl w:val="0"/>
                <w:numId w:val="27"/>
              </w:numPr>
              <w:spacing w:after="0" w:line="240" w:lineRule="auto"/>
              <w:jc w:val="center"/>
              <w:rPr>
                <w:rFonts w:ascii="Century Gothic" w:hAnsi="Century Gothic" w:cs="Open Sans Light"/>
                <w:sz w:val="18"/>
                <w:szCs w:val="18"/>
              </w:rPr>
            </w:pPr>
          </w:p>
        </w:tc>
        <w:tc>
          <w:tcPr>
            <w:tcW w:w="1560" w:type="dxa"/>
          </w:tcPr>
          <w:p w14:paraId="19858BD8" w14:textId="77777777" w:rsidR="00E1542D" w:rsidRPr="00F453A9" w:rsidRDefault="00E1542D" w:rsidP="00E1542D">
            <w:pPr>
              <w:pStyle w:val="ListParagraph"/>
              <w:numPr>
                <w:ilvl w:val="0"/>
                <w:numId w:val="27"/>
              </w:numPr>
              <w:spacing w:after="0" w:line="240" w:lineRule="auto"/>
              <w:jc w:val="center"/>
              <w:rPr>
                <w:rFonts w:ascii="Century Gothic" w:hAnsi="Century Gothic" w:cs="Open Sans Light"/>
                <w:sz w:val="18"/>
                <w:szCs w:val="18"/>
              </w:rPr>
            </w:pPr>
          </w:p>
        </w:tc>
      </w:tr>
      <w:tr w:rsidR="00E1542D" w:rsidRPr="00F453A9" w14:paraId="642E96DF" w14:textId="498EB6DF" w:rsidTr="00C91A8B">
        <w:trPr>
          <w:trHeight w:val="193"/>
        </w:trPr>
        <w:tc>
          <w:tcPr>
            <w:tcW w:w="4795" w:type="dxa"/>
            <w:tcMar>
              <w:top w:w="0" w:type="dxa"/>
              <w:left w:w="108" w:type="dxa"/>
              <w:bottom w:w="0" w:type="dxa"/>
              <w:right w:w="108" w:type="dxa"/>
            </w:tcMar>
            <w:hideMark/>
          </w:tcPr>
          <w:p w14:paraId="144146E0" w14:textId="77777777" w:rsidR="00E1542D" w:rsidRPr="00F453A9" w:rsidRDefault="00E1542D" w:rsidP="00E1542D">
            <w:pPr>
              <w:spacing w:before="120" w:line="276" w:lineRule="auto"/>
              <w:contextualSpacing/>
              <w:rPr>
                <w:rFonts w:ascii="Century Gothic" w:hAnsi="Century Gothic" w:cs="Open Sans Light"/>
                <w:sz w:val="18"/>
                <w:szCs w:val="18"/>
              </w:rPr>
            </w:pPr>
            <w:r w:rsidRPr="00F453A9">
              <w:rPr>
                <w:rFonts w:ascii="Century Gothic" w:hAnsi="Century Gothic" w:cs="Open Sans Light"/>
                <w:sz w:val="18"/>
                <w:szCs w:val="18"/>
              </w:rPr>
              <w:t>Your adviser will recommend any switches to your investment funds where this is suitable and beneficial for you.</w:t>
            </w:r>
          </w:p>
        </w:tc>
        <w:tc>
          <w:tcPr>
            <w:tcW w:w="1584" w:type="dxa"/>
            <w:tcMar>
              <w:top w:w="0" w:type="dxa"/>
              <w:left w:w="108" w:type="dxa"/>
              <w:bottom w:w="0" w:type="dxa"/>
              <w:right w:w="108" w:type="dxa"/>
            </w:tcMar>
          </w:tcPr>
          <w:p w14:paraId="2748C37D" w14:textId="77777777" w:rsidR="00E1542D" w:rsidRPr="00F453A9" w:rsidRDefault="00E1542D" w:rsidP="00E1542D">
            <w:pPr>
              <w:pStyle w:val="ListParagraph"/>
              <w:numPr>
                <w:ilvl w:val="0"/>
                <w:numId w:val="27"/>
              </w:numPr>
              <w:autoSpaceDN w:val="0"/>
              <w:spacing w:after="0" w:line="240" w:lineRule="auto"/>
              <w:ind w:left="714" w:hanging="357"/>
              <w:contextualSpacing w:val="0"/>
              <w:jc w:val="center"/>
              <w:rPr>
                <w:rFonts w:ascii="Century Gothic" w:hAnsi="Century Gothic" w:cs="Open Sans Light"/>
                <w:sz w:val="18"/>
                <w:szCs w:val="18"/>
              </w:rPr>
            </w:pPr>
          </w:p>
        </w:tc>
        <w:tc>
          <w:tcPr>
            <w:tcW w:w="1559" w:type="dxa"/>
            <w:tcMar>
              <w:top w:w="0" w:type="dxa"/>
              <w:left w:w="108" w:type="dxa"/>
              <w:bottom w:w="0" w:type="dxa"/>
              <w:right w:w="108" w:type="dxa"/>
            </w:tcMar>
          </w:tcPr>
          <w:p w14:paraId="2D804A29" w14:textId="77777777" w:rsidR="00E1542D" w:rsidRPr="00F453A9" w:rsidRDefault="00E1542D" w:rsidP="00E1542D">
            <w:pPr>
              <w:pStyle w:val="ListParagraph"/>
              <w:numPr>
                <w:ilvl w:val="0"/>
                <w:numId w:val="27"/>
              </w:numPr>
              <w:spacing w:after="0" w:line="240" w:lineRule="auto"/>
              <w:jc w:val="center"/>
              <w:rPr>
                <w:rFonts w:ascii="Century Gothic" w:hAnsi="Century Gothic" w:cs="Open Sans Light"/>
                <w:sz w:val="18"/>
                <w:szCs w:val="18"/>
              </w:rPr>
            </w:pPr>
          </w:p>
        </w:tc>
        <w:tc>
          <w:tcPr>
            <w:tcW w:w="1560" w:type="dxa"/>
          </w:tcPr>
          <w:p w14:paraId="030A7570" w14:textId="77777777" w:rsidR="00E1542D" w:rsidRPr="00F453A9" w:rsidRDefault="00E1542D" w:rsidP="00E1542D">
            <w:pPr>
              <w:pStyle w:val="ListParagraph"/>
              <w:numPr>
                <w:ilvl w:val="0"/>
                <w:numId w:val="27"/>
              </w:numPr>
              <w:spacing w:after="0" w:line="240" w:lineRule="auto"/>
              <w:jc w:val="center"/>
              <w:rPr>
                <w:rFonts w:ascii="Century Gothic" w:hAnsi="Century Gothic" w:cs="Open Sans Light"/>
                <w:sz w:val="18"/>
                <w:szCs w:val="18"/>
              </w:rPr>
            </w:pPr>
          </w:p>
        </w:tc>
      </w:tr>
      <w:tr w:rsidR="00E1542D" w:rsidRPr="00F453A9" w14:paraId="2E0476CC" w14:textId="66374325" w:rsidTr="00C91A8B">
        <w:tc>
          <w:tcPr>
            <w:tcW w:w="4795" w:type="dxa"/>
            <w:tcMar>
              <w:top w:w="0" w:type="dxa"/>
              <w:left w:w="108" w:type="dxa"/>
              <w:bottom w:w="0" w:type="dxa"/>
              <w:right w:w="108" w:type="dxa"/>
            </w:tcMar>
            <w:hideMark/>
          </w:tcPr>
          <w:p w14:paraId="6A5ECC97" w14:textId="1D37AC00" w:rsidR="00E1542D" w:rsidRPr="00F453A9" w:rsidRDefault="00E1542D" w:rsidP="00E1542D">
            <w:pPr>
              <w:spacing w:before="120" w:line="276" w:lineRule="auto"/>
              <w:contextualSpacing/>
              <w:rPr>
                <w:rFonts w:ascii="Century Gothic" w:hAnsi="Century Gothic" w:cs="Open Sans Light"/>
                <w:sz w:val="18"/>
                <w:szCs w:val="18"/>
              </w:rPr>
            </w:pPr>
            <w:r w:rsidRPr="00F453A9">
              <w:rPr>
                <w:rFonts w:ascii="Century Gothic" w:hAnsi="Century Gothic" w:cs="Open Sans Light"/>
                <w:sz w:val="18"/>
                <w:szCs w:val="18"/>
              </w:rPr>
              <w:t>We’ll confirm in writing whether your plans and investments continue to be suitable based on your stated objectives and risk appetite</w:t>
            </w:r>
            <w:r w:rsidR="004207F3">
              <w:rPr>
                <w:rFonts w:ascii="Century Gothic" w:hAnsi="Century Gothic" w:cs="Open Sans Light"/>
                <w:sz w:val="18"/>
                <w:szCs w:val="18"/>
              </w:rPr>
              <w:t xml:space="preserve"> </w:t>
            </w:r>
            <w:r w:rsidRPr="004207F3">
              <w:rPr>
                <w:rFonts w:ascii="Century Gothic" w:hAnsi="Century Gothic" w:cs="Open Sans Light"/>
                <w:b/>
                <w:bCs/>
                <w:sz w:val="20"/>
                <w:szCs w:val="20"/>
              </w:rPr>
              <w:t>*</w:t>
            </w:r>
          </w:p>
        </w:tc>
        <w:tc>
          <w:tcPr>
            <w:tcW w:w="1584" w:type="dxa"/>
            <w:tcMar>
              <w:top w:w="0" w:type="dxa"/>
              <w:left w:w="108" w:type="dxa"/>
              <w:bottom w:w="0" w:type="dxa"/>
              <w:right w:w="108" w:type="dxa"/>
            </w:tcMar>
          </w:tcPr>
          <w:p w14:paraId="51DBA60E" w14:textId="77777777" w:rsidR="00E1542D" w:rsidRPr="00F453A9" w:rsidRDefault="00E1542D" w:rsidP="00E1542D">
            <w:pPr>
              <w:pStyle w:val="ListParagraph"/>
              <w:numPr>
                <w:ilvl w:val="0"/>
                <w:numId w:val="27"/>
              </w:numPr>
              <w:autoSpaceDN w:val="0"/>
              <w:spacing w:after="0" w:line="240" w:lineRule="auto"/>
              <w:ind w:left="714" w:hanging="357"/>
              <w:contextualSpacing w:val="0"/>
              <w:jc w:val="center"/>
              <w:rPr>
                <w:rFonts w:ascii="Century Gothic" w:hAnsi="Century Gothic" w:cs="Open Sans Light"/>
                <w:sz w:val="18"/>
                <w:szCs w:val="18"/>
              </w:rPr>
            </w:pPr>
          </w:p>
        </w:tc>
        <w:tc>
          <w:tcPr>
            <w:tcW w:w="1559" w:type="dxa"/>
            <w:tcMar>
              <w:top w:w="0" w:type="dxa"/>
              <w:left w:w="108" w:type="dxa"/>
              <w:bottom w:w="0" w:type="dxa"/>
              <w:right w:w="108" w:type="dxa"/>
            </w:tcMar>
          </w:tcPr>
          <w:p w14:paraId="727E41D2" w14:textId="77777777" w:rsidR="00E1542D" w:rsidRPr="00F453A9" w:rsidRDefault="00E1542D" w:rsidP="00E1542D">
            <w:pPr>
              <w:pStyle w:val="ListParagraph"/>
              <w:numPr>
                <w:ilvl w:val="0"/>
                <w:numId w:val="27"/>
              </w:numPr>
              <w:spacing w:after="0" w:line="240" w:lineRule="auto"/>
              <w:jc w:val="center"/>
              <w:rPr>
                <w:rFonts w:ascii="Century Gothic" w:hAnsi="Century Gothic" w:cs="Open Sans Light"/>
                <w:sz w:val="18"/>
                <w:szCs w:val="18"/>
              </w:rPr>
            </w:pPr>
          </w:p>
        </w:tc>
        <w:tc>
          <w:tcPr>
            <w:tcW w:w="1560" w:type="dxa"/>
          </w:tcPr>
          <w:p w14:paraId="7117D47B" w14:textId="77777777" w:rsidR="00E1542D" w:rsidRPr="00F453A9" w:rsidRDefault="00E1542D" w:rsidP="00E1542D">
            <w:pPr>
              <w:pStyle w:val="ListParagraph"/>
              <w:numPr>
                <w:ilvl w:val="0"/>
                <w:numId w:val="27"/>
              </w:numPr>
              <w:spacing w:after="0" w:line="240" w:lineRule="auto"/>
              <w:jc w:val="center"/>
              <w:rPr>
                <w:rFonts w:ascii="Century Gothic" w:hAnsi="Century Gothic" w:cs="Open Sans Light"/>
                <w:sz w:val="18"/>
                <w:szCs w:val="18"/>
              </w:rPr>
            </w:pPr>
          </w:p>
        </w:tc>
      </w:tr>
      <w:tr w:rsidR="00E1542D" w:rsidRPr="00F453A9" w14:paraId="188AEFE4" w14:textId="4F603A5F" w:rsidTr="00C91A8B">
        <w:tc>
          <w:tcPr>
            <w:tcW w:w="4795" w:type="dxa"/>
            <w:tcMar>
              <w:top w:w="0" w:type="dxa"/>
              <w:left w:w="108" w:type="dxa"/>
              <w:bottom w:w="0" w:type="dxa"/>
              <w:right w:w="108" w:type="dxa"/>
            </w:tcMar>
            <w:hideMark/>
          </w:tcPr>
          <w:p w14:paraId="7C4E2A7A" w14:textId="77777777" w:rsidR="00E1542D" w:rsidRPr="00F453A9" w:rsidRDefault="00E1542D" w:rsidP="00E1542D">
            <w:pPr>
              <w:spacing w:before="120" w:line="276" w:lineRule="auto"/>
              <w:contextualSpacing/>
              <w:rPr>
                <w:rFonts w:ascii="Century Gothic" w:hAnsi="Century Gothic" w:cs="Open Sans Light"/>
                <w:sz w:val="18"/>
                <w:szCs w:val="18"/>
              </w:rPr>
            </w:pPr>
            <w:r w:rsidRPr="00F453A9">
              <w:rPr>
                <w:rFonts w:ascii="Century Gothic" w:hAnsi="Century Gothic" w:cs="Open Sans Light"/>
                <w:sz w:val="18"/>
                <w:szCs w:val="18"/>
              </w:rPr>
              <w:lastRenderedPageBreak/>
              <w:t>Assistance with the administration of your plans and support with any third-party provider interaction, as required.</w:t>
            </w:r>
          </w:p>
        </w:tc>
        <w:tc>
          <w:tcPr>
            <w:tcW w:w="1584" w:type="dxa"/>
            <w:tcMar>
              <w:top w:w="0" w:type="dxa"/>
              <w:left w:w="108" w:type="dxa"/>
              <w:bottom w:w="0" w:type="dxa"/>
              <w:right w:w="108" w:type="dxa"/>
            </w:tcMar>
          </w:tcPr>
          <w:p w14:paraId="5DC07744" w14:textId="77777777" w:rsidR="00E1542D" w:rsidRPr="00F453A9" w:rsidRDefault="00E1542D" w:rsidP="00E1542D">
            <w:pPr>
              <w:pStyle w:val="ListParagraph"/>
              <w:numPr>
                <w:ilvl w:val="0"/>
                <w:numId w:val="27"/>
              </w:numPr>
              <w:autoSpaceDN w:val="0"/>
              <w:spacing w:after="0" w:line="240" w:lineRule="auto"/>
              <w:ind w:left="714" w:hanging="357"/>
              <w:contextualSpacing w:val="0"/>
              <w:jc w:val="center"/>
              <w:rPr>
                <w:rFonts w:ascii="Century Gothic" w:hAnsi="Century Gothic" w:cs="Open Sans Light"/>
                <w:sz w:val="18"/>
                <w:szCs w:val="18"/>
              </w:rPr>
            </w:pPr>
          </w:p>
        </w:tc>
        <w:tc>
          <w:tcPr>
            <w:tcW w:w="1559" w:type="dxa"/>
            <w:tcMar>
              <w:top w:w="0" w:type="dxa"/>
              <w:left w:w="108" w:type="dxa"/>
              <w:bottom w:w="0" w:type="dxa"/>
              <w:right w:w="108" w:type="dxa"/>
            </w:tcMar>
          </w:tcPr>
          <w:p w14:paraId="3BAC49BD" w14:textId="77777777" w:rsidR="00E1542D" w:rsidRPr="00F453A9" w:rsidRDefault="00E1542D" w:rsidP="00E1542D">
            <w:pPr>
              <w:pStyle w:val="ListParagraph"/>
              <w:numPr>
                <w:ilvl w:val="0"/>
                <w:numId w:val="27"/>
              </w:numPr>
              <w:spacing w:after="0" w:line="240" w:lineRule="auto"/>
              <w:jc w:val="center"/>
              <w:rPr>
                <w:rFonts w:ascii="Century Gothic" w:hAnsi="Century Gothic" w:cs="Open Sans Light"/>
                <w:sz w:val="18"/>
                <w:szCs w:val="18"/>
              </w:rPr>
            </w:pPr>
          </w:p>
        </w:tc>
        <w:tc>
          <w:tcPr>
            <w:tcW w:w="1560" w:type="dxa"/>
          </w:tcPr>
          <w:p w14:paraId="39AC238E" w14:textId="77777777" w:rsidR="00E1542D" w:rsidRPr="00F453A9" w:rsidRDefault="00E1542D" w:rsidP="00E1542D">
            <w:pPr>
              <w:pStyle w:val="ListParagraph"/>
              <w:numPr>
                <w:ilvl w:val="0"/>
                <w:numId w:val="27"/>
              </w:numPr>
              <w:spacing w:after="0" w:line="240" w:lineRule="auto"/>
              <w:jc w:val="center"/>
              <w:rPr>
                <w:rFonts w:ascii="Century Gothic" w:hAnsi="Century Gothic" w:cs="Open Sans Light"/>
                <w:sz w:val="18"/>
                <w:szCs w:val="18"/>
              </w:rPr>
            </w:pPr>
          </w:p>
        </w:tc>
      </w:tr>
      <w:tr w:rsidR="00E1542D" w:rsidRPr="00F453A9" w14:paraId="5C759A80" w14:textId="1D2A4862" w:rsidTr="00C91A8B">
        <w:tc>
          <w:tcPr>
            <w:tcW w:w="4795" w:type="dxa"/>
            <w:tcMar>
              <w:top w:w="0" w:type="dxa"/>
              <w:left w:w="108" w:type="dxa"/>
              <w:bottom w:w="0" w:type="dxa"/>
              <w:right w:w="108" w:type="dxa"/>
            </w:tcMar>
            <w:hideMark/>
          </w:tcPr>
          <w:p w14:paraId="2521BAAC" w14:textId="77777777" w:rsidR="00E1542D" w:rsidRPr="00F453A9" w:rsidRDefault="00E1542D" w:rsidP="00E1542D">
            <w:pPr>
              <w:rPr>
                <w:rFonts w:ascii="Century Gothic" w:hAnsi="Century Gothic" w:cs="Open Sans Light"/>
                <w:sz w:val="18"/>
                <w:szCs w:val="18"/>
              </w:rPr>
            </w:pPr>
            <w:r w:rsidRPr="00F453A9">
              <w:rPr>
                <w:rFonts w:ascii="Century Gothic" w:hAnsi="Century Gothic" w:cs="Open Sans Light"/>
                <w:sz w:val="18"/>
                <w:szCs w:val="18"/>
              </w:rPr>
              <w:t>Telephone and e-mail access to your adviser (and wider support team), allowing you to quickly address any questions or concerns that you might have between regular scheduled progress check meetings.</w:t>
            </w:r>
          </w:p>
        </w:tc>
        <w:tc>
          <w:tcPr>
            <w:tcW w:w="1584" w:type="dxa"/>
            <w:tcMar>
              <w:top w:w="0" w:type="dxa"/>
              <w:left w:w="108" w:type="dxa"/>
              <w:bottom w:w="0" w:type="dxa"/>
              <w:right w:w="108" w:type="dxa"/>
            </w:tcMar>
          </w:tcPr>
          <w:p w14:paraId="1A031ED8" w14:textId="77777777" w:rsidR="00E1542D" w:rsidRPr="00F453A9" w:rsidRDefault="00E1542D" w:rsidP="00E1542D">
            <w:pPr>
              <w:pStyle w:val="ListParagraph"/>
              <w:numPr>
                <w:ilvl w:val="0"/>
                <w:numId w:val="27"/>
              </w:numPr>
              <w:autoSpaceDN w:val="0"/>
              <w:spacing w:after="0" w:line="240" w:lineRule="auto"/>
              <w:ind w:left="714" w:hanging="357"/>
              <w:contextualSpacing w:val="0"/>
              <w:jc w:val="center"/>
              <w:rPr>
                <w:rFonts w:ascii="Century Gothic" w:hAnsi="Century Gothic" w:cs="Open Sans Light"/>
                <w:sz w:val="18"/>
                <w:szCs w:val="18"/>
              </w:rPr>
            </w:pPr>
          </w:p>
        </w:tc>
        <w:tc>
          <w:tcPr>
            <w:tcW w:w="1559" w:type="dxa"/>
            <w:tcMar>
              <w:top w:w="0" w:type="dxa"/>
              <w:left w:w="108" w:type="dxa"/>
              <w:bottom w:w="0" w:type="dxa"/>
              <w:right w:w="108" w:type="dxa"/>
            </w:tcMar>
          </w:tcPr>
          <w:p w14:paraId="04C30D74" w14:textId="77777777" w:rsidR="00E1542D" w:rsidRPr="00F453A9" w:rsidRDefault="00E1542D" w:rsidP="00E1542D">
            <w:pPr>
              <w:pStyle w:val="ListParagraph"/>
              <w:numPr>
                <w:ilvl w:val="0"/>
                <w:numId w:val="27"/>
              </w:numPr>
              <w:spacing w:after="0" w:line="240" w:lineRule="auto"/>
              <w:jc w:val="center"/>
              <w:rPr>
                <w:rFonts w:ascii="Century Gothic" w:hAnsi="Century Gothic" w:cs="Open Sans Light"/>
                <w:sz w:val="18"/>
                <w:szCs w:val="18"/>
              </w:rPr>
            </w:pPr>
          </w:p>
        </w:tc>
        <w:tc>
          <w:tcPr>
            <w:tcW w:w="1560" w:type="dxa"/>
          </w:tcPr>
          <w:p w14:paraId="7A279E8E" w14:textId="77777777" w:rsidR="00E1542D" w:rsidRPr="00F453A9" w:rsidRDefault="00E1542D" w:rsidP="00E1542D">
            <w:pPr>
              <w:pStyle w:val="ListParagraph"/>
              <w:numPr>
                <w:ilvl w:val="0"/>
                <w:numId w:val="27"/>
              </w:numPr>
              <w:spacing w:after="0" w:line="240" w:lineRule="auto"/>
              <w:jc w:val="center"/>
              <w:rPr>
                <w:rFonts w:ascii="Century Gothic" w:hAnsi="Century Gothic" w:cs="Open Sans Light"/>
                <w:sz w:val="18"/>
                <w:szCs w:val="18"/>
              </w:rPr>
            </w:pPr>
          </w:p>
        </w:tc>
      </w:tr>
      <w:tr w:rsidR="00C91A8B" w:rsidRPr="00F23D90" w14:paraId="57D71BCD" w14:textId="357700CF" w:rsidTr="00F23C67">
        <w:tc>
          <w:tcPr>
            <w:tcW w:w="4795" w:type="dxa"/>
            <w:shd w:val="clear" w:color="auto" w:fill="D9D9D9" w:themeFill="background1" w:themeFillShade="D9"/>
            <w:tcMar>
              <w:top w:w="0" w:type="dxa"/>
              <w:left w:w="108" w:type="dxa"/>
              <w:bottom w:w="0" w:type="dxa"/>
              <w:right w:w="108" w:type="dxa"/>
            </w:tcMar>
          </w:tcPr>
          <w:p w14:paraId="4E7998EB" w14:textId="2416C9D3" w:rsidR="00C91A8B" w:rsidRPr="00F23D90" w:rsidRDefault="00C91A8B" w:rsidP="00C91A8B">
            <w:pPr>
              <w:rPr>
                <w:rFonts w:ascii="Century Gothic" w:hAnsi="Century Gothic" w:cs="Open Sans Light"/>
                <w:b/>
                <w:bCs/>
                <w:sz w:val="18"/>
                <w:szCs w:val="18"/>
              </w:rPr>
            </w:pPr>
            <w:r w:rsidRPr="00F23D90">
              <w:rPr>
                <w:rFonts w:ascii="Century Gothic" w:hAnsi="Century Gothic" w:cs="Open Sans Light"/>
                <w:b/>
                <w:bCs/>
                <w:sz w:val="18"/>
                <w:szCs w:val="18"/>
              </w:rPr>
              <w:t>Additional Services</w:t>
            </w:r>
            <w:r w:rsidR="00F23C67">
              <w:rPr>
                <w:rFonts w:ascii="Century Gothic" w:hAnsi="Century Gothic" w:cs="Open Sans Light"/>
                <w:b/>
                <w:bCs/>
                <w:sz w:val="18"/>
                <w:szCs w:val="18"/>
              </w:rPr>
              <w:t xml:space="preserve"> (where requested by you)</w:t>
            </w:r>
            <w:r w:rsidRPr="00F23D90">
              <w:rPr>
                <w:rFonts w:ascii="Century Gothic" w:hAnsi="Century Gothic" w:cs="Open Sans Light"/>
                <w:b/>
                <w:bCs/>
                <w:sz w:val="18"/>
                <w:szCs w:val="18"/>
              </w:rPr>
              <w:t xml:space="preserve"> </w:t>
            </w:r>
            <w:r w:rsidRPr="004207F3">
              <w:rPr>
                <w:rFonts w:ascii="Century Gothic" w:hAnsi="Century Gothic" w:cs="Open Sans Light"/>
                <w:b/>
                <w:bCs/>
                <w:sz w:val="20"/>
                <w:szCs w:val="20"/>
              </w:rPr>
              <w:t>**</w:t>
            </w:r>
          </w:p>
        </w:tc>
        <w:tc>
          <w:tcPr>
            <w:tcW w:w="1584" w:type="dxa"/>
            <w:shd w:val="clear" w:color="auto" w:fill="D9D9D9" w:themeFill="background1" w:themeFillShade="D9"/>
            <w:tcMar>
              <w:top w:w="0" w:type="dxa"/>
              <w:left w:w="108" w:type="dxa"/>
              <w:bottom w:w="0" w:type="dxa"/>
              <w:right w:w="108" w:type="dxa"/>
            </w:tcMar>
          </w:tcPr>
          <w:p w14:paraId="29EC482A" w14:textId="20AF363B" w:rsidR="00C91A8B" w:rsidRPr="00F23D90" w:rsidRDefault="00C91A8B" w:rsidP="00C91A8B">
            <w:pPr>
              <w:jc w:val="center"/>
              <w:rPr>
                <w:rFonts w:ascii="Wingdings" w:hAnsi="Wingdings"/>
                <w:b/>
                <w:bCs/>
                <w:sz w:val="18"/>
                <w:szCs w:val="18"/>
              </w:rPr>
            </w:pPr>
          </w:p>
        </w:tc>
        <w:tc>
          <w:tcPr>
            <w:tcW w:w="1559" w:type="dxa"/>
            <w:shd w:val="clear" w:color="auto" w:fill="D9D9D9" w:themeFill="background1" w:themeFillShade="D9"/>
            <w:tcMar>
              <w:top w:w="0" w:type="dxa"/>
              <w:left w:w="108" w:type="dxa"/>
              <w:bottom w:w="0" w:type="dxa"/>
              <w:right w:w="108" w:type="dxa"/>
            </w:tcMar>
          </w:tcPr>
          <w:p w14:paraId="68993019" w14:textId="6388818F" w:rsidR="00C91A8B" w:rsidRPr="00F23D90" w:rsidRDefault="00C91A8B" w:rsidP="00C91A8B">
            <w:pPr>
              <w:pStyle w:val="ListParagraph"/>
              <w:tabs>
                <w:tab w:val="center" w:pos="960"/>
              </w:tabs>
              <w:autoSpaceDN w:val="0"/>
              <w:spacing w:after="0" w:line="240" w:lineRule="auto"/>
              <w:contextualSpacing w:val="0"/>
              <w:rPr>
                <w:rFonts w:ascii="Century Gothic" w:hAnsi="Century Gothic" w:cs="Open Sans Light"/>
                <w:b/>
                <w:bCs/>
                <w:sz w:val="18"/>
                <w:szCs w:val="18"/>
              </w:rPr>
            </w:pPr>
          </w:p>
        </w:tc>
        <w:tc>
          <w:tcPr>
            <w:tcW w:w="1560" w:type="dxa"/>
            <w:shd w:val="clear" w:color="auto" w:fill="D9D9D9" w:themeFill="background1" w:themeFillShade="D9"/>
          </w:tcPr>
          <w:p w14:paraId="3166CCC2" w14:textId="77777777" w:rsidR="00C91A8B" w:rsidRPr="00F23D90" w:rsidRDefault="00C91A8B" w:rsidP="00C91A8B">
            <w:pPr>
              <w:pStyle w:val="ListParagraph"/>
              <w:tabs>
                <w:tab w:val="center" w:pos="960"/>
              </w:tabs>
              <w:autoSpaceDN w:val="0"/>
              <w:spacing w:after="0" w:line="240" w:lineRule="auto"/>
              <w:contextualSpacing w:val="0"/>
              <w:rPr>
                <w:rFonts w:ascii="Century Gothic" w:hAnsi="Century Gothic" w:cs="Open Sans Light"/>
                <w:b/>
                <w:bCs/>
                <w:sz w:val="18"/>
                <w:szCs w:val="18"/>
              </w:rPr>
            </w:pPr>
          </w:p>
        </w:tc>
      </w:tr>
      <w:tr w:rsidR="00C91A8B" w:rsidRPr="00F23D90" w14:paraId="0DA2F146" w14:textId="53F0F552" w:rsidTr="00C91A8B">
        <w:tc>
          <w:tcPr>
            <w:tcW w:w="4795" w:type="dxa"/>
            <w:tcMar>
              <w:top w:w="0" w:type="dxa"/>
              <w:left w:w="108" w:type="dxa"/>
              <w:bottom w:w="0" w:type="dxa"/>
              <w:right w:w="108" w:type="dxa"/>
            </w:tcMar>
          </w:tcPr>
          <w:p w14:paraId="669FB3C2" w14:textId="3705E7F9" w:rsidR="00C91A8B" w:rsidRPr="00F23D90" w:rsidRDefault="00C91A8B" w:rsidP="00D43C9F">
            <w:pPr>
              <w:rPr>
                <w:rFonts w:ascii="Century Gothic" w:hAnsi="Century Gothic" w:cs="Open Sans Light"/>
                <w:sz w:val="18"/>
                <w:szCs w:val="18"/>
              </w:rPr>
            </w:pPr>
            <w:r w:rsidRPr="00F23D90">
              <w:rPr>
                <w:rFonts w:ascii="Open Sans Light" w:hAnsi="Open Sans Light" w:cs="Open Sans Light"/>
                <w:sz w:val="18"/>
                <w:szCs w:val="18"/>
              </w:rPr>
              <w:t xml:space="preserve">Advice, </w:t>
            </w:r>
            <w:proofErr w:type="gramStart"/>
            <w:r w:rsidRPr="00F23D90">
              <w:rPr>
                <w:rFonts w:ascii="Open Sans Light" w:hAnsi="Open Sans Light" w:cs="Open Sans Light"/>
                <w:sz w:val="18"/>
                <w:szCs w:val="18"/>
              </w:rPr>
              <w:t>support</w:t>
            </w:r>
            <w:proofErr w:type="gramEnd"/>
            <w:r w:rsidRPr="00F23D90">
              <w:rPr>
                <w:rFonts w:ascii="Open Sans Light" w:hAnsi="Open Sans Light" w:cs="Open Sans Light"/>
                <w:sz w:val="18"/>
                <w:szCs w:val="18"/>
              </w:rPr>
              <w:t xml:space="preserve"> and facilitation on “top ups” to your investments </w:t>
            </w:r>
          </w:p>
        </w:tc>
        <w:tc>
          <w:tcPr>
            <w:tcW w:w="1584" w:type="dxa"/>
            <w:tcMar>
              <w:top w:w="0" w:type="dxa"/>
              <w:left w:w="108" w:type="dxa"/>
              <w:bottom w:w="0" w:type="dxa"/>
              <w:right w:w="108" w:type="dxa"/>
            </w:tcMar>
          </w:tcPr>
          <w:p w14:paraId="17BFF425" w14:textId="7598215F" w:rsidR="00C91A8B" w:rsidRPr="00F23D90" w:rsidRDefault="00C91A8B" w:rsidP="00C91A8B">
            <w:pPr>
              <w:jc w:val="center"/>
              <w:rPr>
                <w:rFonts w:ascii="Wingdings" w:hAnsi="Wingdings"/>
                <w:sz w:val="18"/>
                <w:szCs w:val="18"/>
              </w:rPr>
            </w:pPr>
            <w:r w:rsidRPr="00F23D90">
              <w:rPr>
                <w:rFonts w:ascii="Wingdings" w:hAnsi="Wingdings"/>
                <w:sz w:val="18"/>
                <w:szCs w:val="18"/>
              </w:rPr>
              <w:sym w:font="Wingdings" w:char="F0FC"/>
            </w:r>
          </w:p>
        </w:tc>
        <w:tc>
          <w:tcPr>
            <w:tcW w:w="1559" w:type="dxa"/>
            <w:tcMar>
              <w:top w:w="0" w:type="dxa"/>
              <w:left w:w="108" w:type="dxa"/>
              <w:bottom w:w="0" w:type="dxa"/>
              <w:right w:w="108" w:type="dxa"/>
            </w:tcMar>
          </w:tcPr>
          <w:p w14:paraId="3A05DAAD" w14:textId="77777777" w:rsidR="00C91A8B" w:rsidRPr="00F23D90" w:rsidRDefault="00C91A8B" w:rsidP="00C91A8B">
            <w:pPr>
              <w:pStyle w:val="ListParagraph"/>
              <w:autoSpaceDN w:val="0"/>
              <w:spacing w:after="0" w:line="240" w:lineRule="auto"/>
              <w:contextualSpacing w:val="0"/>
              <w:jc w:val="center"/>
              <w:rPr>
                <w:rFonts w:ascii="Wingdings" w:hAnsi="Wingdings"/>
                <w:sz w:val="18"/>
                <w:szCs w:val="18"/>
              </w:rPr>
            </w:pPr>
          </w:p>
        </w:tc>
        <w:tc>
          <w:tcPr>
            <w:tcW w:w="1560" w:type="dxa"/>
          </w:tcPr>
          <w:p w14:paraId="5E0025D3" w14:textId="0B0A1139" w:rsidR="00C91A8B" w:rsidRPr="00F23D90" w:rsidRDefault="00C91A8B" w:rsidP="00C91A8B">
            <w:pPr>
              <w:pStyle w:val="ListParagraph"/>
              <w:autoSpaceDN w:val="0"/>
              <w:spacing w:after="0" w:line="240" w:lineRule="auto"/>
              <w:contextualSpacing w:val="0"/>
              <w:jc w:val="center"/>
              <w:rPr>
                <w:rFonts w:ascii="Wingdings" w:hAnsi="Wingdings"/>
                <w:sz w:val="18"/>
                <w:szCs w:val="18"/>
              </w:rPr>
            </w:pPr>
          </w:p>
        </w:tc>
      </w:tr>
      <w:tr w:rsidR="00C91A8B" w:rsidRPr="00F23D90" w14:paraId="0D804779" w14:textId="3A43BDFD" w:rsidTr="00C91A8B">
        <w:tc>
          <w:tcPr>
            <w:tcW w:w="4795" w:type="dxa"/>
            <w:tcMar>
              <w:top w:w="0" w:type="dxa"/>
              <w:left w:w="108" w:type="dxa"/>
              <w:bottom w:w="0" w:type="dxa"/>
              <w:right w:w="108" w:type="dxa"/>
            </w:tcMar>
          </w:tcPr>
          <w:p w14:paraId="57C7985B" w14:textId="64DF6892" w:rsidR="00C91A8B" w:rsidRPr="00F23D90" w:rsidRDefault="00C91A8B" w:rsidP="00D43C9F">
            <w:pPr>
              <w:rPr>
                <w:rFonts w:ascii="Century Gothic" w:hAnsi="Century Gothic" w:cs="Open Sans Light"/>
                <w:sz w:val="18"/>
                <w:szCs w:val="18"/>
              </w:rPr>
            </w:pPr>
            <w:r w:rsidRPr="00F23D90">
              <w:rPr>
                <w:rFonts w:ascii="Open Sans Light" w:hAnsi="Open Sans Light" w:cs="Open Sans Light"/>
                <w:sz w:val="18"/>
                <w:szCs w:val="18"/>
              </w:rPr>
              <w:t xml:space="preserve">Advice, </w:t>
            </w:r>
            <w:proofErr w:type="gramStart"/>
            <w:r w:rsidRPr="00F23D90">
              <w:rPr>
                <w:rFonts w:ascii="Open Sans Light" w:hAnsi="Open Sans Light" w:cs="Open Sans Light"/>
                <w:sz w:val="18"/>
                <w:szCs w:val="18"/>
              </w:rPr>
              <w:t>support</w:t>
            </w:r>
            <w:proofErr w:type="gramEnd"/>
            <w:r w:rsidRPr="00F23D90">
              <w:rPr>
                <w:rFonts w:ascii="Open Sans Light" w:hAnsi="Open Sans Light" w:cs="Open Sans Light"/>
                <w:sz w:val="18"/>
                <w:szCs w:val="18"/>
              </w:rPr>
              <w:t xml:space="preserve"> and facilitation on withdrawals once per tax year</w:t>
            </w:r>
          </w:p>
        </w:tc>
        <w:tc>
          <w:tcPr>
            <w:tcW w:w="1584" w:type="dxa"/>
            <w:tcMar>
              <w:top w:w="0" w:type="dxa"/>
              <w:left w:w="108" w:type="dxa"/>
              <w:bottom w:w="0" w:type="dxa"/>
              <w:right w:w="108" w:type="dxa"/>
            </w:tcMar>
          </w:tcPr>
          <w:p w14:paraId="1F2CC815" w14:textId="382C989E" w:rsidR="00C91A8B" w:rsidRPr="00F23D90" w:rsidRDefault="00C91A8B" w:rsidP="00C91A8B">
            <w:pPr>
              <w:jc w:val="center"/>
              <w:rPr>
                <w:rFonts w:ascii="Wingdings" w:hAnsi="Wingdings"/>
                <w:sz w:val="18"/>
                <w:szCs w:val="18"/>
              </w:rPr>
            </w:pPr>
            <w:r w:rsidRPr="00F23D90">
              <w:rPr>
                <w:rFonts w:ascii="Wingdings" w:hAnsi="Wingdings"/>
                <w:sz w:val="18"/>
                <w:szCs w:val="18"/>
              </w:rPr>
              <w:sym w:font="Wingdings" w:char="F0FC"/>
            </w:r>
          </w:p>
        </w:tc>
        <w:tc>
          <w:tcPr>
            <w:tcW w:w="1559" w:type="dxa"/>
            <w:tcMar>
              <w:top w:w="0" w:type="dxa"/>
              <w:left w:w="108" w:type="dxa"/>
              <w:bottom w:w="0" w:type="dxa"/>
              <w:right w:w="108" w:type="dxa"/>
            </w:tcMar>
          </w:tcPr>
          <w:p w14:paraId="14048C1F" w14:textId="77777777" w:rsidR="00C91A8B" w:rsidRPr="00F23D90" w:rsidRDefault="00C91A8B" w:rsidP="00C91A8B">
            <w:pPr>
              <w:pStyle w:val="ListParagraph"/>
              <w:autoSpaceDN w:val="0"/>
              <w:spacing w:after="0" w:line="240" w:lineRule="auto"/>
              <w:contextualSpacing w:val="0"/>
              <w:jc w:val="center"/>
              <w:rPr>
                <w:rFonts w:ascii="Wingdings" w:hAnsi="Wingdings"/>
                <w:sz w:val="18"/>
                <w:szCs w:val="18"/>
              </w:rPr>
            </w:pPr>
          </w:p>
        </w:tc>
        <w:tc>
          <w:tcPr>
            <w:tcW w:w="1560" w:type="dxa"/>
          </w:tcPr>
          <w:p w14:paraId="53DC730B" w14:textId="1C43797F" w:rsidR="00C91A8B" w:rsidRPr="00F23D90" w:rsidRDefault="00C91A8B" w:rsidP="00C91A8B">
            <w:pPr>
              <w:pStyle w:val="ListParagraph"/>
              <w:autoSpaceDN w:val="0"/>
              <w:spacing w:after="0" w:line="240" w:lineRule="auto"/>
              <w:contextualSpacing w:val="0"/>
              <w:jc w:val="center"/>
              <w:rPr>
                <w:rFonts w:ascii="Wingdings" w:hAnsi="Wingdings"/>
                <w:sz w:val="18"/>
                <w:szCs w:val="18"/>
              </w:rPr>
            </w:pPr>
          </w:p>
        </w:tc>
      </w:tr>
      <w:tr w:rsidR="00C91A8B" w:rsidRPr="00F23D90" w14:paraId="2CB59946" w14:textId="65BBAC61" w:rsidTr="00C91A8B">
        <w:tc>
          <w:tcPr>
            <w:tcW w:w="4795" w:type="dxa"/>
            <w:tcMar>
              <w:top w:w="0" w:type="dxa"/>
              <w:left w:w="108" w:type="dxa"/>
              <w:bottom w:w="0" w:type="dxa"/>
              <w:right w:w="108" w:type="dxa"/>
            </w:tcMar>
          </w:tcPr>
          <w:p w14:paraId="01A3A262" w14:textId="664702A4" w:rsidR="00C91A8B" w:rsidRPr="00F23D90" w:rsidRDefault="00C91A8B" w:rsidP="00D43C9F">
            <w:pPr>
              <w:rPr>
                <w:rFonts w:ascii="Century Gothic" w:hAnsi="Century Gothic" w:cs="Open Sans Light"/>
                <w:sz w:val="18"/>
                <w:szCs w:val="18"/>
              </w:rPr>
            </w:pPr>
            <w:r w:rsidRPr="00F23D90">
              <w:rPr>
                <w:rFonts w:ascii="Open Sans Light" w:hAnsi="Open Sans Light" w:cs="Open Sans Light"/>
                <w:sz w:val="18"/>
                <w:szCs w:val="18"/>
              </w:rPr>
              <w:t>Meetings with your adviser (as appropriate) in addition to your Annual Progress Check Meeting</w:t>
            </w:r>
          </w:p>
        </w:tc>
        <w:tc>
          <w:tcPr>
            <w:tcW w:w="1584" w:type="dxa"/>
            <w:tcMar>
              <w:top w:w="0" w:type="dxa"/>
              <w:left w:w="108" w:type="dxa"/>
              <w:bottom w:w="0" w:type="dxa"/>
              <w:right w:w="108" w:type="dxa"/>
            </w:tcMar>
          </w:tcPr>
          <w:p w14:paraId="7D993A3A" w14:textId="21E7C54F" w:rsidR="00C91A8B" w:rsidRPr="00F23D90" w:rsidRDefault="00C91A8B" w:rsidP="00C91A8B">
            <w:pPr>
              <w:jc w:val="center"/>
              <w:rPr>
                <w:rFonts w:ascii="Wingdings" w:hAnsi="Wingdings"/>
                <w:sz w:val="18"/>
                <w:szCs w:val="18"/>
              </w:rPr>
            </w:pPr>
            <w:r w:rsidRPr="00F23D90">
              <w:rPr>
                <w:rFonts w:ascii="Wingdings" w:hAnsi="Wingdings"/>
                <w:sz w:val="18"/>
                <w:szCs w:val="18"/>
              </w:rPr>
              <w:sym w:font="Wingdings" w:char="F0FC"/>
            </w:r>
          </w:p>
        </w:tc>
        <w:tc>
          <w:tcPr>
            <w:tcW w:w="1559" w:type="dxa"/>
            <w:tcMar>
              <w:top w:w="0" w:type="dxa"/>
              <w:left w:w="108" w:type="dxa"/>
              <w:bottom w:w="0" w:type="dxa"/>
              <w:right w:w="108" w:type="dxa"/>
            </w:tcMar>
          </w:tcPr>
          <w:p w14:paraId="7A5BBEDA" w14:textId="77777777" w:rsidR="00C91A8B" w:rsidRPr="00F23D90" w:rsidRDefault="00C91A8B" w:rsidP="00C91A8B">
            <w:pPr>
              <w:pStyle w:val="ListParagraph"/>
              <w:autoSpaceDN w:val="0"/>
              <w:spacing w:after="0" w:line="240" w:lineRule="auto"/>
              <w:contextualSpacing w:val="0"/>
              <w:jc w:val="center"/>
              <w:rPr>
                <w:rFonts w:ascii="Wingdings" w:hAnsi="Wingdings"/>
                <w:sz w:val="18"/>
                <w:szCs w:val="18"/>
              </w:rPr>
            </w:pPr>
          </w:p>
        </w:tc>
        <w:tc>
          <w:tcPr>
            <w:tcW w:w="1560" w:type="dxa"/>
          </w:tcPr>
          <w:p w14:paraId="6BD10271" w14:textId="6398C30B" w:rsidR="00C91A8B" w:rsidRPr="00F23D90" w:rsidRDefault="00C91A8B" w:rsidP="00C91A8B">
            <w:pPr>
              <w:pStyle w:val="ListParagraph"/>
              <w:autoSpaceDN w:val="0"/>
              <w:spacing w:after="0" w:line="240" w:lineRule="auto"/>
              <w:contextualSpacing w:val="0"/>
              <w:jc w:val="center"/>
              <w:rPr>
                <w:rFonts w:ascii="Wingdings" w:hAnsi="Wingdings"/>
                <w:sz w:val="18"/>
                <w:szCs w:val="18"/>
              </w:rPr>
            </w:pPr>
          </w:p>
        </w:tc>
      </w:tr>
      <w:tr w:rsidR="00C91A8B" w:rsidRPr="00F23D90" w14:paraId="198FD4F3" w14:textId="01BED671" w:rsidTr="00C91A8B">
        <w:tc>
          <w:tcPr>
            <w:tcW w:w="4795" w:type="dxa"/>
            <w:tcMar>
              <w:top w:w="0" w:type="dxa"/>
              <w:left w:w="108" w:type="dxa"/>
              <w:bottom w:w="0" w:type="dxa"/>
              <w:right w:w="108" w:type="dxa"/>
            </w:tcMar>
          </w:tcPr>
          <w:p w14:paraId="19627616" w14:textId="41991866" w:rsidR="00C91A8B" w:rsidRPr="00F23D90" w:rsidRDefault="00C91A8B" w:rsidP="00D43C9F">
            <w:pPr>
              <w:rPr>
                <w:rFonts w:ascii="Open Sans Light" w:hAnsi="Open Sans Light" w:cs="Open Sans Light"/>
                <w:sz w:val="18"/>
                <w:szCs w:val="18"/>
              </w:rPr>
            </w:pPr>
            <w:r w:rsidRPr="00F23D90">
              <w:rPr>
                <w:rFonts w:ascii="Open Sans Light" w:hAnsi="Open Sans Light" w:cs="Open Sans Light"/>
                <w:sz w:val="18"/>
                <w:szCs w:val="18"/>
              </w:rPr>
              <w:t>Engagement with your other professional advisers (e.g., accountants/solicitors) on your financial affairs</w:t>
            </w:r>
          </w:p>
        </w:tc>
        <w:tc>
          <w:tcPr>
            <w:tcW w:w="1584" w:type="dxa"/>
            <w:tcMar>
              <w:top w:w="0" w:type="dxa"/>
              <w:left w:w="108" w:type="dxa"/>
              <w:bottom w:w="0" w:type="dxa"/>
              <w:right w:w="108" w:type="dxa"/>
            </w:tcMar>
          </w:tcPr>
          <w:p w14:paraId="7158FB23" w14:textId="2618C7E7" w:rsidR="00C91A8B" w:rsidRPr="00F23D90" w:rsidRDefault="00C91A8B" w:rsidP="00C91A8B">
            <w:pPr>
              <w:jc w:val="center"/>
              <w:rPr>
                <w:rFonts w:ascii="Wingdings" w:hAnsi="Wingdings"/>
                <w:sz w:val="18"/>
                <w:szCs w:val="18"/>
              </w:rPr>
            </w:pPr>
            <w:r w:rsidRPr="00F23D90">
              <w:rPr>
                <w:rFonts w:ascii="Wingdings" w:hAnsi="Wingdings"/>
                <w:sz w:val="18"/>
                <w:szCs w:val="18"/>
              </w:rPr>
              <w:sym w:font="Wingdings" w:char="F0FC"/>
            </w:r>
          </w:p>
        </w:tc>
        <w:tc>
          <w:tcPr>
            <w:tcW w:w="1559" w:type="dxa"/>
            <w:tcMar>
              <w:top w:w="0" w:type="dxa"/>
              <w:left w:w="108" w:type="dxa"/>
              <w:bottom w:w="0" w:type="dxa"/>
              <w:right w:w="108" w:type="dxa"/>
            </w:tcMar>
          </w:tcPr>
          <w:p w14:paraId="7DA7630D" w14:textId="73B65DB1" w:rsidR="00C91A8B" w:rsidRPr="00F23D90" w:rsidRDefault="00C91A8B" w:rsidP="00C91A8B">
            <w:pPr>
              <w:pStyle w:val="ListParagraph"/>
              <w:autoSpaceDN w:val="0"/>
              <w:spacing w:after="0" w:line="240" w:lineRule="auto"/>
              <w:contextualSpacing w:val="0"/>
              <w:jc w:val="center"/>
              <w:rPr>
                <w:rFonts w:ascii="Wingdings" w:hAnsi="Wingdings"/>
                <w:sz w:val="18"/>
                <w:szCs w:val="18"/>
              </w:rPr>
            </w:pPr>
          </w:p>
        </w:tc>
        <w:tc>
          <w:tcPr>
            <w:tcW w:w="1560" w:type="dxa"/>
          </w:tcPr>
          <w:p w14:paraId="113563FA" w14:textId="767F68E4" w:rsidR="00C91A8B" w:rsidRPr="00F23D90" w:rsidRDefault="00C91A8B" w:rsidP="00C91A8B">
            <w:pPr>
              <w:pStyle w:val="ListParagraph"/>
              <w:autoSpaceDN w:val="0"/>
              <w:spacing w:after="0" w:line="240" w:lineRule="auto"/>
              <w:contextualSpacing w:val="0"/>
              <w:jc w:val="center"/>
              <w:rPr>
                <w:rFonts w:ascii="Wingdings" w:hAnsi="Wingdings"/>
                <w:sz w:val="18"/>
                <w:szCs w:val="18"/>
              </w:rPr>
            </w:pPr>
          </w:p>
        </w:tc>
      </w:tr>
      <w:tr w:rsidR="00C91A8B" w:rsidRPr="001C55AE" w14:paraId="180248B3" w14:textId="5E0F77DC" w:rsidTr="00C9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A359CA" w14:textId="77777777" w:rsidR="00C91A8B" w:rsidRPr="001C55AE" w:rsidRDefault="00C91A8B" w:rsidP="00C91A8B">
            <w:pPr>
              <w:rPr>
                <w:rFonts w:ascii="Century Gothic" w:hAnsi="Century Gothic" w:cs="Open Sans Light"/>
                <w:b/>
                <w:bCs/>
                <w:sz w:val="18"/>
                <w:szCs w:val="18"/>
              </w:rPr>
            </w:pPr>
            <w:r w:rsidRPr="001C55AE">
              <w:rPr>
                <w:rFonts w:ascii="Century Gothic" w:hAnsi="Century Gothic" w:cs="Open Sans Light"/>
                <w:b/>
                <w:bCs/>
                <w:sz w:val="18"/>
                <w:szCs w:val="18"/>
              </w:rPr>
              <w:t>Typical Assets under our Advice</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DF54E9" w14:textId="77777777" w:rsidR="00C91A8B" w:rsidRDefault="00C91A8B" w:rsidP="00C91A8B">
            <w:pPr>
              <w:jc w:val="center"/>
              <w:rPr>
                <w:rFonts w:ascii="Century Gothic" w:hAnsi="Century Gothic" w:cs="Open Sans Light"/>
                <w:b/>
                <w:bCs/>
                <w:sz w:val="18"/>
                <w:szCs w:val="18"/>
              </w:rPr>
            </w:pPr>
            <w:r w:rsidRPr="001C55AE">
              <w:rPr>
                <w:rFonts w:ascii="Century Gothic" w:hAnsi="Century Gothic" w:cs="Open Sans Light"/>
                <w:b/>
                <w:bCs/>
                <w:sz w:val="18"/>
                <w:szCs w:val="18"/>
              </w:rPr>
              <w:t>£</w:t>
            </w:r>
            <w:r>
              <w:rPr>
                <w:rFonts w:ascii="Century Gothic" w:hAnsi="Century Gothic" w:cs="Open Sans Light"/>
                <w:b/>
                <w:bCs/>
                <w:sz w:val="18"/>
                <w:szCs w:val="18"/>
              </w:rPr>
              <w:t xml:space="preserve">500,000 </w:t>
            </w:r>
          </w:p>
          <w:p w14:paraId="3DB86E4E" w14:textId="06C52313" w:rsidR="00C91A8B" w:rsidRPr="001C55AE" w:rsidRDefault="00C91A8B" w:rsidP="00C91A8B">
            <w:pPr>
              <w:jc w:val="center"/>
              <w:rPr>
                <w:rFonts w:ascii="Century Gothic" w:hAnsi="Century Gothic" w:cs="Open Sans Light"/>
                <w:b/>
                <w:bCs/>
                <w:sz w:val="18"/>
                <w:szCs w:val="18"/>
              </w:rPr>
            </w:pPr>
            <w:r>
              <w:rPr>
                <w:rFonts w:ascii="Century Gothic" w:hAnsi="Century Gothic" w:cs="Open Sans Light"/>
                <w:b/>
                <w:bCs/>
                <w:sz w:val="18"/>
                <w:szCs w:val="18"/>
              </w:rPr>
              <w:t>and above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6C6A98" w14:textId="3866F2D1" w:rsidR="00C91A8B" w:rsidRPr="001C55AE" w:rsidRDefault="00C91A8B" w:rsidP="00C91A8B">
            <w:pPr>
              <w:jc w:val="center"/>
              <w:rPr>
                <w:rFonts w:ascii="Century Gothic" w:hAnsi="Century Gothic" w:cs="Open Sans Light"/>
                <w:b/>
                <w:bCs/>
                <w:sz w:val="18"/>
                <w:szCs w:val="18"/>
              </w:rPr>
            </w:pPr>
            <w:r w:rsidRPr="001C55AE">
              <w:rPr>
                <w:rFonts w:ascii="Century Gothic" w:hAnsi="Century Gothic" w:cs="Open Sans Light"/>
                <w:b/>
                <w:bCs/>
                <w:sz w:val="18"/>
                <w:szCs w:val="18"/>
              </w:rPr>
              <w:t>£250,000</w:t>
            </w:r>
            <w:r>
              <w:rPr>
                <w:rFonts w:ascii="Century Gothic" w:hAnsi="Century Gothic" w:cs="Open Sans Light"/>
                <w:b/>
                <w:bCs/>
                <w:sz w:val="18"/>
                <w:szCs w:val="18"/>
              </w:rPr>
              <w:t>-£500,000</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B0BE2" w14:textId="77777777" w:rsidR="00C91A8B" w:rsidRDefault="00C91A8B" w:rsidP="00C91A8B">
            <w:pPr>
              <w:jc w:val="center"/>
              <w:rPr>
                <w:rFonts w:ascii="Century Gothic" w:hAnsi="Century Gothic" w:cs="Open Sans Light"/>
                <w:b/>
                <w:bCs/>
                <w:sz w:val="18"/>
                <w:szCs w:val="18"/>
              </w:rPr>
            </w:pPr>
            <w:r w:rsidRPr="001C55AE">
              <w:rPr>
                <w:rFonts w:ascii="Century Gothic" w:hAnsi="Century Gothic" w:cs="Open Sans Light"/>
                <w:b/>
                <w:bCs/>
                <w:sz w:val="18"/>
                <w:szCs w:val="18"/>
              </w:rPr>
              <w:t>£50,000</w:t>
            </w:r>
            <w:r>
              <w:rPr>
                <w:rFonts w:ascii="Century Gothic" w:hAnsi="Century Gothic" w:cs="Open Sans Light"/>
                <w:b/>
                <w:bCs/>
                <w:sz w:val="18"/>
                <w:szCs w:val="18"/>
              </w:rPr>
              <w:t>-</w:t>
            </w:r>
          </w:p>
          <w:p w14:paraId="12761D53" w14:textId="7352DA3B" w:rsidR="00C91A8B" w:rsidRPr="001C55AE" w:rsidRDefault="00C91A8B" w:rsidP="00C91A8B">
            <w:pPr>
              <w:jc w:val="center"/>
              <w:rPr>
                <w:rFonts w:ascii="Century Gothic" w:hAnsi="Century Gothic" w:cs="Open Sans Light"/>
                <w:b/>
                <w:bCs/>
                <w:sz w:val="18"/>
                <w:szCs w:val="18"/>
              </w:rPr>
            </w:pPr>
            <w:r>
              <w:rPr>
                <w:rFonts w:ascii="Century Gothic" w:hAnsi="Century Gothic" w:cs="Open Sans Light"/>
                <w:b/>
                <w:bCs/>
                <w:sz w:val="18"/>
                <w:szCs w:val="18"/>
              </w:rPr>
              <w:t>£250,000</w:t>
            </w:r>
          </w:p>
        </w:tc>
      </w:tr>
      <w:tr w:rsidR="00C91A8B" w:rsidRPr="001C55AE" w14:paraId="2B420A3F" w14:textId="6E0E1038" w:rsidTr="00C91A8B">
        <w:tc>
          <w:tcPr>
            <w:tcW w:w="4795" w:type="dxa"/>
            <w:shd w:val="clear" w:color="auto" w:fill="D9D9D9" w:themeFill="background1" w:themeFillShade="D9"/>
            <w:tcMar>
              <w:top w:w="0" w:type="dxa"/>
              <w:left w:w="108" w:type="dxa"/>
              <w:bottom w:w="0" w:type="dxa"/>
              <w:right w:w="108" w:type="dxa"/>
            </w:tcMar>
          </w:tcPr>
          <w:p w14:paraId="2AABAA15" w14:textId="77777777" w:rsidR="00C91A8B" w:rsidRPr="001C55AE" w:rsidRDefault="00C91A8B" w:rsidP="00C91A8B">
            <w:pPr>
              <w:rPr>
                <w:rFonts w:ascii="Century Gothic" w:hAnsi="Century Gothic" w:cs="Open Sans Light"/>
                <w:b/>
                <w:bCs/>
                <w:sz w:val="18"/>
                <w:szCs w:val="18"/>
              </w:rPr>
            </w:pPr>
            <w:r w:rsidRPr="001C55AE">
              <w:rPr>
                <w:rFonts w:ascii="Century Gothic" w:hAnsi="Century Gothic" w:cs="Open Sans Light"/>
                <w:b/>
                <w:bCs/>
                <w:sz w:val="18"/>
                <w:szCs w:val="18"/>
              </w:rPr>
              <w:t>Ongoing Advice Fee</w:t>
            </w:r>
          </w:p>
        </w:tc>
        <w:tc>
          <w:tcPr>
            <w:tcW w:w="1584" w:type="dxa"/>
            <w:shd w:val="clear" w:color="auto" w:fill="D9D9D9" w:themeFill="background1" w:themeFillShade="D9"/>
            <w:tcMar>
              <w:top w:w="0" w:type="dxa"/>
              <w:left w:w="108" w:type="dxa"/>
              <w:bottom w:w="0" w:type="dxa"/>
              <w:right w:w="108" w:type="dxa"/>
            </w:tcMar>
          </w:tcPr>
          <w:p w14:paraId="16A8C42B" w14:textId="39C953A6" w:rsidR="00C91A8B" w:rsidRPr="001C55AE" w:rsidRDefault="00C91A8B" w:rsidP="00C91A8B">
            <w:pPr>
              <w:jc w:val="center"/>
              <w:rPr>
                <w:rFonts w:ascii="Century Gothic" w:hAnsi="Century Gothic" w:cs="Open Sans Light"/>
                <w:b/>
                <w:bCs/>
                <w:sz w:val="18"/>
                <w:szCs w:val="18"/>
              </w:rPr>
            </w:pPr>
            <w:r w:rsidRPr="001C55AE">
              <w:rPr>
                <w:rFonts w:ascii="Century Gothic" w:hAnsi="Century Gothic" w:cs="Open Sans Light"/>
                <w:b/>
                <w:bCs/>
                <w:sz w:val="18"/>
                <w:szCs w:val="18"/>
              </w:rPr>
              <w:t>0.5%</w:t>
            </w:r>
          </w:p>
        </w:tc>
        <w:tc>
          <w:tcPr>
            <w:tcW w:w="1559" w:type="dxa"/>
            <w:shd w:val="clear" w:color="auto" w:fill="D9D9D9" w:themeFill="background1" w:themeFillShade="D9"/>
            <w:tcMar>
              <w:top w:w="0" w:type="dxa"/>
              <w:left w:w="108" w:type="dxa"/>
              <w:bottom w:w="0" w:type="dxa"/>
              <w:right w:w="108" w:type="dxa"/>
            </w:tcMar>
          </w:tcPr>
          <w:p w14:paraId="637A659C" w14:textId="6E4BC483" w:rsidR="00C91A8B" w:rsidRPr="001C55AE" w:rsidRDefault="00C91A8B" w:rsidP="00C91A8B">
            <w:pPr>
              <w:jc w:val="center"/>
              <w:rPr>
                <w:rFonts w:ascii="Century Gothic" w:hAnsi="Century Gothic" w:cs="Open Sans Light"/>
                <w:b/>
                <w:bCs/>
                <w:sz w:val="18"/>
                <w:szCs w:val="18"/>
              </w:rPr>
            </w:pPr>
            <w:r>
              <w:rPr>
                <w:rFonts w:ascii="Century Gothic" w:hAnsi="Century Gothic" w:cs="Open Sans Light"/>
                <w:b/>
                <w:bCs/>
                <w:sz w:val="18"/>
                <w:szCs w:val="18"/>
              </w:rPr>
              <w:t>0.75</w:t>
            </w:r>
            <w:r w:rsidRPr="001C55AE">
              <w:rPr>
                <w:rFonts w:ascii="Century Gothic" w:hAnsi="Century Gothic" w:cs="Open Sans Light"/>
                <w:b/>
                <w:bCs/>
                <w:sz w:val="18"/>
                <w:szCs w:val="18"/>
              </w:rPr>
              <w:t>%</w:t>
            </w:r>
          </w:p>
        </w:tc>
        <w:tc>
          <w:tcPr>
            <w:tcW w:w="1560" w:type="dxa"/>
            <w:shd w:val="clear" w:color="auto" w:fill="D9D9D9" w:themeFill="background1" w:themeFillShade="D9"/>
          </w:tcPr>
          <w:p w14:paraId="2C911B73" w14:textId="148F419D" w:rsidR="00C91A8B" w:rsidRPr="001C55AE" w:rsidRDefault="00C91A8B" w:rsidP="00C91A8B">
            <w:pPr>
              <w:jc w:val="center"/>
              <w:rPr>
                <w:rFonts w:ascii="Century Gothic" w:hAnsi="Century Gothic" w:cs="Open Sans Light"/>
                <w:b/>
                <w:bCs/>
                <w:sz w:val="18"/>
                <w:szCs w:val="18"/>
              </w:rPr>
            </w:pPr>
            <w:r>
              <w:rPr>
                <w:rFonts w:ascii="Century Gothic" w:hAnsi="Century Gothic" w:cs="Open Sans Light"/>
                <w:b/>
                <w:bCs/>
                <w:sz w:val="18"/>
                <w:szCs w:val="18"/>
              </w:rPr>
              <w:t>1</w:t>
            </w:r>
            <w:r w:rsidRPr="001C55AE">
              <w:rPr>
                <w:rFonts w:ascii="Century Gothic" w:hAnsi="Century Gothic" w:cs="Open Sans Light"/>
                <w:b/>
                <w:bCs/>
                <w:sz w:val="18"/>
                <w:szCs w:val="18"/>
              </w:rPr>
              <w:t>%</w:t>
            </w:r>
          </w:p>
        </w:tc>
      </w:tr>
      <w:tr w:rsidR="00C91A8B" w:rsidRPr="00B25323" w14:paraId="01AAE298" w14:textId="614F14BB" w:rsidTr="00C91A8B">
        <w:tc>
          <w:tcPr>
            <w:tcW w:w="4795" w:type="dxa"/>
            <w:shd w:val="clear" w:color="auto" w:fill="D9D9D9" w:themeFill="background1" w:themeFillShade="D9"/>
            <w:tcMar>
              <w:top w:w="0" w:type="dxa"/>
              <w:left w:w="108" w:type="dxa"/>
              <w:bottom w:w="0" w:type="dxa"/>
              <w:right w:w="108" w:type="dxa"/>
            </w:tcMar>
          </w:tcPr>
          <w:p w14:paraId="69F05C5A" w14:textId="7041EAD9" w:rsidR="00C91A8B" w:rsidRPr="00B25323" w:rsidRDefault="00C91A8B" w:rsidP="00C91A8B">
            <w:pPr>
              <w:tabs>
                <w:tab w:val="left" w:pos="990"/>
                <w:tab w:val="left" w:pos="1980"/>
              </w:tabs>
              <w:jc w:val="both"/>
              <w:rPr>
                <w:rFonts w:ascii="Century Gothic" w:hAnsi="Century Gothic" w:cs="Open Sans Light"/>
                <w:b/>
                <w:bCs/>
                <w:sz w:val="18"/>
                <w:szCs w:val="18"/>
              </w:rPr>
            </w:pPr>
            <w:r w:rsidRPr="00B25323">
              <w:rPr>
                <w:rFonts w:ascii="Century Gothic" w:hAnsi="Century Gothic" w:cs="Open Sans Light"/>
                <w:b/>
                <w:bCs/>
                <w:sz w:val="18"/>
                <w:szCs w:val="18"/>
              </w:rPr>
              <w:t>Minimum fees that may apply</w:t>
            </w:r>
          </w:p>
        </w:tc>
        <w:tc>
          <w:tcPr>
            <w:tcW w:w="1584" w:type="dxa"/>
            <w:shd w:val="clear" w:color="auto" w:fill="D9D9D9" w:themeFill="background1" w:themeFillShade="D9"/>
            <w:tcMar>
              <w:top w:w="0" w:type="dxa"/>
              <w:left w:w="108" w:type="dxa"/>
              <w:bottom w:w="0" w:type="dxa"/>
              <w:right w:w="108" w:type="dxa"/>
            </w:tcMar>
          </w:tcPr>
          <w:p w14:paraId="4513D232" w14:textId="682DD75D" w:rsidR="00C91A8B" w:rsidRPr="00B25323" w:rsidRDefault="00C91A8B" w:rsidP="00C91A8B">
            <w:pPr>
              <w:jc w:val="center"/>
              <w:rPr>
                <w:rFonts w:ascii="Century Gothic" w:hAnsi="Century Gothic" w:cs="Open Sans Light"/>
                <w:b/>
                <w:bCs/>
                <w:sz w:val="18"/>
                <w:szCs w:val="18"/>
              </w:rPr>
            </w:pPr>
            <w:r w:rsidRPr="00B25323">
              <w:rPr>
                <w:rFonts w:ascii="Century Gothic" w:hAnsi="Century Gothic" w:cs="Open Sans Light"/>
                <w:b/>
                <w:bCs/>
                <w:sz w:val="18"/>
                <w:szCs w:val="18"/>
              </w:rPr>
              <w:t>£</w:t>
            </w:r>
            <w:r w:rsidR="0013341C">
              <w:rPr>
                <w:rFonts w:ascii="Century Gothic" w:hAnsi="Century Gothic" w:cs="Open Sans Light"/>
                <w:b/>
                <w:bCs/>
                <w:sz w:val="18"/>
                <w:szCs w:val="18"/>
              </w:rPr>
              <w:t>2,500</w:t>
            </w:r>
          </w:p>
        </w:tc>
        <w:tc>
          <w:tcPr>
            <w:tcW w:w="1559" w:type="dxa"/>
            <w:shd w:val="clear" w:color="auto" w:fill="D9D9D9" w:themeFill="background1" w:themeFillShade="D9"/>
            <w:tcMar>
              <w:top w:w="0" w:type="dxa"/>
              <w:left w:w="108" w:type="dxa"/>
              <w:bottom w:w="0" w:type="dxa"/>
              <w:right w:w="108" w:type="dxa"/>
            </w:tcMar>
          </w:tcPr>
          <w:p w14:paraId="2473986A" w14:textId="4EF78A23" w:rsidR="00C91A8B" w:rsidRPr="00B25323" w:rsidRDefault="00C91A8B" w:rsidP="00C91A8B">
            <w:pPr>
              <w:jc w:val="center"/>
              <w:rPr>
                <w:rFonts w:ascii="Century Gothic" w:hAnsi="Century Gothic" w:cs="Open Sans Light"/>
                <w:b/>
                <w:bCs/>
                <w:sz w:val="18"/>
                <w:szCs w:val="18"/>
              </w:rPr>
            </w:pPr>
            <w:r w:rsidRPr="00B25323">
              <w:rPr>
                <w:rFonts w:ascii="Century Gothic" w:hAnsi="Century Gothic" w:cs="Open Sans Light"/>
                <w:b/>
                <w:bCs/>
                <w:sz w:val="18"/>
                <w:szCs w:val="18"/>
              </w:rPr>
              <w:t>£</w:t>
            </w:r>
            <w:r w:rsidR="0013341C">
              <w:rPr>
                <w:rFonts w:ascii="Century Gothic" w:hAnsi="Century Gothic" w:cs="Open Sans Light"/>
                <w:b/>
                <w:bCs/>
                <w:sz w:val="18"/>
                <w:szCs w:val="18"/>
              </w:rPr>
              <w:t>1,875</w:t>
            </w:r>
          </w:p>
        </w:tc>
        <w:tc>
          <w:tcPr>
            <w:tcW w:w="1560" w:type="dxa"/>
            <w:shd w:val="clear" w:color="auto" w:fill="D9D9D9" w:themeFill="background1" w:themeFillShade="D9"/>
          </w:tcPr>
          <w:p w14:paraId="31DB32D6" w14:textId="46178BD3" w:rsidR="00C91A8B" w:rsidRPr="00B25323" w:rsidRDefault="00C91A8B" w:rsidP="00C91A8B">
            <w:pPr>
              <w:jc w:val="center"/>
              <w:rPr>
                <w:rFonts w:ascii="Century Gothic" w:hAnsi="Century Gothic" w:cs="Open Sans Light"/>
                <w:b/>
                <w:bCs/>
                <w:sz w:val="18"/>
                <w:szCs w:val="18"/>
              </w:rPr>
            </w:pPr>
            <w:r w:rsidRPr="00B25323">
              <w:rPr>
                <w:rFonts w:ascii="Century Gothic" w:hAnsi="Century Gothic" w:cs="Open Sans Light"/>
                <w:b/>
                <w:bCs/>
                <w:sz w:val="18"/>
                <w:szCs w:val="18"/>
              </w:rPr>
              <w:t>£</w:t>
            </w:r>
            <w:r w:rsidR="0013341C">
              <w:rPr>
                <w:rFonts w:ascii="Century Gothic" w:hAnsi="Century Gothic" w:cs="Open Sans Light"/>
                <w:b/>
                <w:bCs/>
                <w:sz w:val="18"/>
                <w:szCs w:val="18"/>
              </w:rPr>
              <w:t>500</w:t>
            </w:r>
          </w:p>
        </w:tc>
      </w:tr>
    </w:tbl>
    <w:p w14:paraId="362225A5" w14:textId="77777777" w:rsidR="00EC03B8" w:rsidRDefault="00EC03B8" w:rsidP="00EC03B8">
      <w:pPr>
        <w:rPr>
          <w:rFonts w:ascii="Open Sans Light" w:hAnsi="Open Sans Light" w:cs="Open Sans Light"/>
          <w:sz w:val="18"/>
          <w:szCs w:val="18"/>
        </w:rPr>
      </w:pPr>
    </w:p>
    <w:p w14:paraId="738ACB5E" w14:textId="1832FFE2" w:rsidR="003F6D56" w:rsidRDefault="00103239" w:rsidP="003F6D56">
      <w:pPr>
        <w:spacing w:after="120"/>
        <w:rPr>
          <w:rFonts w:ascii="Century Gothic" w:hAnsi="Century Gothic" w:cs="Open Sans Light"/>
          <w:sz w:val="18"/>
          <w:szCs w:val="18"/>
        </w:rPr>
      </w:pPr>
      <w:r w:rsidRPr="004207F3">
        <w:rPr>
          <w:rFonts w:ascii="Century Gothic" w:hAnsi="Century Gothic" w:cs="Open Sans Light"/>
          <w:b/>
          <w:bCs/>
          <w:sz w:val="20"/>
          <w:szCs w:val="20"/>
        </w:rPr>
        <w:t>*</w:t>
      </w:r>
      <w:r w:rsidRPr="00103239">
        <w:rPr>
          <w:rFonts w:ascii="Century Gothic" w:hAnsi="Century Gothic" w:cs="Open Sans Light"/>
          <w:sz w:val="18"/>
          <w:szCs w:val="18"/>
        </w:rPr>
        <w:t xml:space="preserve"> </w:t>
      </w:r>
      <w:r>
        <w:rPr>
          <w:rFonts w:ascii="Century Gothic" w:hAnsi="Century Gothic" w:cs="Open Sans Light"/>
          <w:sz w:val="18"/>
          <w:szCs w:val="18"/>
        </w:rPr>
        <w:t>Remember</w:t>
      </w:r>
      <w:r w:rsidR="003F6D56" w:rsidRPr="00103239">
        <w:rPr>
          <w:rFonts w:ascii="Century Gothic" w:hAnsi="Century Gothic" w:cs="Open Sans Light"/>
          <w:sz w:val="18"/>
          <w:szCs w:val="18"/>
        </w:rPr>
        <w:t>, we’ll only be able to confirm whether your plans and investments continue to be suitable following your annual progress check meeting. Where you are unable to attend a meeting, we will not be able to confirm whether your plans and investments remain on track.</w:t>
      </w:r>
    </w:p>
    <w:p w14:paraId="7DADB033" w14:textId="77777777" w:rsidR="004207F3" w:rsidRPr="004207F3" w:rsidRDefault="004207F3" w:rsidP="004207F3">
      <w:pPr>
        <w:spacing w:after="120"/>
        <w:rPr>
          <w:rFonts w:ascii="Century Gothic" w:hAnsi="Century Gothic" w:cs="Open Sans Light"/>
          <w:sz w:val="18"/>
          <w:szCs w:val="18"/>
        </w:rPr>
      </w:pPr>
      <w:r w:rsidRPr="004207F3">
        <w:rPr>
          <w:rFonts w:ascii="Century Gothic" w:hAnsi="Century Gothic" w:cs="Open Sans Light"/>
          <w:sz w:val="20"/>
          <w:szCs w:val="20"/>
        </w:rPr>
        <w:t>**</w:t>
      </w:r>
      <w:r w:rsidRPr="004207F3">
        <w:rPr>
          <w:rFonts w:ascii="Century Gothic" w:hAnsi="Century Gothic" w:cs="Calibri"/>
        </w:rPr>
        <w:t xml:space="preserve"> </w:t>
      </w:r>
      <w:r w:rsidRPr="004207F3">
        <w:rPr>
          <w:rFonts w:ascii="Century Gothic" w:hAnsi="Century Gothic" w:cs="Open Sans Light"/>
          <w:sz w:val="18"/>
          <w:szCs w:val="18"/>
        </w:rPr>
        <w:t>Where Additional Services are available to you, if you do not need them or choose not to use them in any given year, you will not be eligible for a refund of the ongoing advice fees paid for that year.  If you have any questions on this at any time or want to understand in more detail what this means in practice, please do not hesitate to contact your adviser so they can help.</w:t>
      </w:r>
    </w:p>
    <w:p w14:paraId="20912731" w14:textId="263FF935" w:rsidR="00D6067B" w:rsidRPr="006A2412" w:rsidRDefault="00D6067B" w:rsidP="00D6067B">
      <w:pPr>
        <w:rPr>
          <w:rFonts w:ascii="Century Gothic" w:hAnsi="Century Gothic" w:cs="Open Sans Light"/>
          <w:sz w:val="18"/>
          <w:szCs w:val="18"/>
        </w:rPr>
      </w:pPr>
      <w:r w:rsidRPr="006A2412">
        <w:rPr>
          <w:rFonts w:ascii="Century Gothic" w:hAnsi="Century Gothic" w:cs="Open Sans Light"/>
          <w:sz w:val="18"/>
          <w:szCs w:val="18"/>
        </w:rPr>
        <w:t xml:space="preserve">The standard fee for our ongoing service is </w:t>
      </w:r>
      <w:r w:rsidR="00BE1ECF" w:rsidRPr="006A2412">
        <w:rPr>
          <w:rFonts w:ascii="Century Gothic" w:hAnsi="Century Gothic" w:cs="Open Sans Light"/>
          <w:sz w:val="18"/>
          <w:szCs w:val="18"/>
        </w:rPr>
        <w:t>1</w:t>
      </w:r>
      <w:r w:rsidRPr="006A2412">
        <w:rPr>
          <w:rFonts w:ascii="Century Gothic" w:hAnsi="Century Gothic" w:cs="Open Sans Light"/>
          <w:sz w:val="18"/>
          <w:szCs w:val="18"/>
        </w:rPr>
        <w:t>% per year of the value of your product / portfolio invested. However, we apply a stepped</w:t>
      </w:r>
      <w:r w:rsidR="0013341C">
        <w:rPr>
          <w:rFonts w:ascii="Century Gothic" w:hAnsi="Century Gothic" w:cs="Open Sans Light"/>
          <w:sz w:val="18"/>
          <w:szCs w:val="18"/>
        </w:rPr>
        <w:t xml:space="preserve"> </w:t>
      </w:r>
      <w:r w:rsidRPr="006A2412">
        <w:rPr>
          <w:rFonts w:ascii="Century Gothic" w:hAnsi="Century Gothic" w:cs="Open Sans Light"/>
          <w:sz w:val="18"/>
          <w:szCs w:val="18"/>
        </w:rPr>
        <w:t>charging structure for clients with higher amounts to invest, as follows:</w:t>
      </w:r>
    </w:p>
    <w:p w14:paraId="7B99482E" w14:textId="77777777" w:rsidR="00D6067B" w:rsidRPr="006A2412" w:rsidRDefault="00D6067B" w:rsidP="00D6067B">
      <w:pPr>
        <w:rPr>
          <w:rFonts w:ascii="Century Gothic" w:hAnsi="Century Gothic" w:cs="Open Sans Light"/>
          <w:sz w:val="18"/>
          <w:szCs w:val="18"/>
        </w:rPr>
      </w:pPr>
    </w:p>
    <w:p w14:paraId="17598352" w14:textId="3A6E68F9" w:rsidR="00D6067B" w:rsidRPr="006A2412" w:rsidRDefault="00C71A3F" w:rsidP="00D6067B">
      <w:pPr>
        <w:pStyle w:val="ListParagraph"/>
        <w:numPr>
          <w:ilvl w:val="0"/>
          <w:numId w:val="20"/>
        </w:numPr>
        <w:suppressAutoHyphens/>
        <w:autoSpaceDN w:val="0"/>
        <w:spacing w:after="0" w:line="240" w:lineRule="auto"/>
        <w:contextualSpacing w:val="0"/>
        <w:textAlignment w:val="baseline"/>
        <w:rPr>
          <w:rFonts w:ascii="Century Gothic" w:hAnsi="Century Gothic" w:cs="Open Sans Light"/>
          <w:sz w:val="18"/>
          <w:szCs w:val="18"/>
        </w:rPr>
      </w:pPr>
      <w:bookmarkStart w:id="3" w:name="_Hlk200541480"/>
      <w:r w:rsidRPr="006A2412">
        <w:rPr>
          <w:rFonts w:ascii="Century Gothic" w:hAnsi="Century Gothic" w:cs="Open Sans Light"/>
          <w:sz w:val="18"/>
          <w:szCs w:val="18"/>
        </w:rPr>
        <w:t>1</w:t>
      </w:r>
      <w:r w:rsidR="00D6067B" w:rsidRPr="006A2412">
        <w:rPr>
          <w:rFonts w:ascii="Century Gothic" w:hAnsi="Century Gothic" w:cs="Open Sans Light"/>
          <w:sz w:val="18"/>
          <w:szCs w:val="18"/>
        </w:rPr>
        <w:t xml:space="preserve">% </w:t>
      </w:r>
      <w:bookmarkStart w:id="4" w:name="_Hlk200541305"/>
      <w:r w:rsidR="00D6067B" w:rsidRPr="006A2412">
        <w:rPr>
          <w:rFonts w:ascii="Century Gothic" w:hAnsi="Century Gothic" w:cs="Open Sans Light"/>
          <w:sz w:val="18"/>
          <w:szCs w:val="18"/>
        </w:rPr>
        <w:t>per year of all assets where the investment amount is below £</w:t>
      </w:r>
      <w:r w:rsidRPr="006A2412">
        <w:rPr>
          <w:rFonts w:ascii="Century Gothic" w:hAnsi="Century Gothic" w:cs="Open Sans Light"/>
          <w:sz w:val="18"/>
          <w:szCs w:val="18"/>
        </w:rPr>
        <w:t>250,000</w:t>
      </w:r>
      <w:bookmarkEnd w:id="4"/>
    </w:p>
    <w:p w14:paraId="600FAABE" w14:textId="6CEFEF20" w:rsidR="00D6067B" w:rsidRPr="006A2412" w:rsidRDefault="00207BA0" w:rsidP="00D6067B">
      <w:pPr>
        <w:pStyle w:val="ListParagraph"/>
        <w:numPr>
          <w:ilvl w:val="0"/>
          <w:numId w:val="20"/>
        </w:numPr>
        <w:suppressAutoHyphens/>
        <w:autoSpaceDN w:val="0"/>
        <w:spacing w:after="0" w:line="240" w:lineRule="auto"/>
        <w:contextualSpacing w:val="0"/>
        <w:textAlignment w:val="baseline"/>
        <w:rPr>
          <w:rFonts w:ascii="Century Gothic" w:hAnsi="Century Gothic" w:cs="Open Sans Light"/>
          <w:sz w:val="18"/>
          <w:szCs w:val="18"/>
        </w:rPr>
      </w:pPr>
      <w:r w:rsidRPr="006A2412">
        <w:rPr>
          <w:rFonts w:ascii="Century Gothic" w:hAnsi="Century Gothic" w:cs="Open Sans Light"/>
          <w:sz w:val="18"/>
          <w:szCs w:val="18"/>
        </w:rPr>
        <w:t>0.75</w:t>
      </w:r>
      <w:r w:rsidR="00D6067B" w:rsidRPr="006A2412">
        <w:rPr>
          <w:rFonts w:ascii="Century Gothic" w:hAnsi="Century Gothic" w:cs="Open Sans Light"/>
          <w:sz w:val="18"/>
          <w:szCs w:val="18"/>
        </w:rPr>
        <w:t>% per year of all assets where the investment amount is up to £</w:t>
      </w:r>
      <w:r w:rsidRPr="006A2412">
        <w:rPr>
          <w:rFonts w:ascii="Century Gothic" w:hAnsi="Century Gothic" w:cs="Open Sans Light"/>
          <w:sz w:val="18"/>
          <w:szCs w:val="18"/>
        </w:rPr>
        <w:t>500,00</w:t>
      </w:r>
      <w:r w:rsidR="00D6067B" w:rsidRPr="006A2412">
        <w:rPr>
          <w:rFonts w:ascii="Century Gothic" w:hAnsi="Century Gothic" w:cs="Open Sans Light"/>
          <w:sz w:val="18"/>
          <w:szCs w:val="18"/>
        </w:rPr>
        <w:t xml:space="preserve"> </w:t>
      </w:r>
    </w:p>
    <w:p w14:paraId="54161F94" w14:textId="2864288D" w:rsidR="00D6067B" w:rsidRDefault="00207BA0" w:rsidP="00D6067B">
      <w:pPr>
        <w:pStyle w:val="ListParagraph"/>
        <w:numPr>
          <w:ilvl w:val="0"/>
          <w:numId w:val="20"/>
        </w:numPr>
        <w:suppressAutoHyphens/>
        <w:autoSpaceDN w:val="0"/>
        <w:spacing w:after="0" w:line="240" w:lineRule="auto"/>
        <w:contextualSpacing w:val="0"/>
        <w:textAlignment w:val="baseline"/>
        <w:rPr>
          <w:rFonts w:ascii="Century Gothic" w:hAnsi="Century Gothic" w:cs="Open Sans Light"/>
          <w:sz w:val="18"/>
          <w:szCs w:val="18"/>
        </w:rPr>
      </w:pPr>
      <w:r w:rsidRPr="006A2412">
        <w:rPr>
          <w:rFonts w:ascii="Century Gothic" w:hAnsi="Century Gothic" w:cs="Open Sans Light"/>
          <w:sz w:val="18"/>
          <w:szCs w:val="18"/>
        </w:rPr>
        <w:t>0.5</w:t>
      </w:r>
      <w:r w:rsidR="00D6067B" w:rsidRPr="006A2412">
        <w:rPr>
          <w:rFonts w:ascii="Century Gothic" w:hAnsi="Century Gothic" w:cs="Open Sans Light"/>
          <w:sz w:val="18"/>
          <w:szCs w:val="18"/>
        </w:rPr>
        <w:t>% per year of all assets where the investment amount is above £</w:t>
      </w:r>
      <w:r w:rsidR="00014FE0" w:rsidRPr="006A2412">
        <w:rPr>
          <w:rFonts w:ascii="Century Gothic" w:hAnsi="Century Gothic" w:cs="Open Sans Light"/>
          <w:sz w:val="18"/>
          <w:szCs w:val="18"/>
        </w:rPr>
        <w:t>50</w:t>
      </w:r>
      <w:r w:rsidR="00E1542D" w:rsidRPr="006A2412">
        <w:rPr>
          <w:rFonts w:ascii="Century Gothic" w:hAnsi="Century Gothic" w:cs="Open Sans Light"/>
          <w:sz w:val="18"/>
          <w:szCs w:val="18"/>
        </w:rPr>
        <w:t>0</w:t>
      </w:r>
      <w:r w:rsidR="00014FE0" w:rsidRPr="006A2412">
        <w:rPr>
          <w:rFonts w:ascii="Century Gothic" w:hAnsi="Century Gothic" w:cs="Open Sans Light"/>
          <w:sz w:val="18"/>
          <w:szCs w:val="18"/>
        </w:rPr>
        <w:t>,000</w:t>
      </w:r>
    </w:p>
    <w:p w14:paraId="1F953408" w14:textId="77777777" w:rsidR="008725D4" w:rsidRPr="001C0C6A" w:rsidRDefault="008725D4" w:rsidP="00D6067B">
      <w:pPr>
        <w:rPr>
          <w:rFonts w:ascii="Open Sans Light" w:hAnsi="Open Sans Light" w:cs="Open Sans Light"/>
          <w:sz w:val="18"/>
          <w:szCs w:val="18"/>
        </w:rPr>
      </w:pPr>
    </w:p>
    <w:tbl>
      <w:tblPr>
        <w:tblStyle w:val="TableGrid"/>
        <w:tblW w:w="5000" w:type="pct"/>
        <w:tblBorders>
          <w:top w:val="single" w:sz="4" w:space="0" w:color="99A4AC"/>
          <w:left w:val="single" w:sz="4" w:space="0" w:color="99A4AC"/>
          <w:bottom w:val="single" w:sz="4" w:space="0" w:color="99A4AC"/>
          <w:right w:val="single" w:sz="4" w:space="0" w:color="99A4AC"/>
          <w:insideH w:val="single" w:sz="4" w:space="0" w:color="99A4AC"/>
          <w:insideV w:val="single" w:sz="4" w:space="0" w:color="99A4AC"/>
        </w:tblBorders>
        <w:shd w:val="clear" w:color="auto" w:fill="F2F2F2"/>
        <w:tblLook w:val="04A0" w:firstRow="1" w:lastRow="0" w:firstColumn="1" w:lastColumn="0" w:noHBand="0" w:noVBand="1"/>
      </w:tblPr>
      <w:tblGrid>
        <w:gridCol w:w="9373"/>
      </w:tblGrid>
      <w:tr w:rsidR="00D6067B" w:rsidRPr="006A2412" w14:paraId="58589AA9" w14:textId="77777777" w:rsidTr="00A45075">
        <w:tc>
          <w:tcPr>
            <w:tcW w:w="9598" w:type="dxa"/>
            <w:shd w:val="clear" w:color="auto" w:fill="F2F2F2"/>
          </w:tcPr>
          <w:p w14:paraId="1EB88FE4" w14:textId="4E1730D5" w:rsidR="00D6067B" w:rsidRPr="006A2412" w:rsidRDefault="00D6067B" w:rsidP="00A45075">
            <w:pPr>
              <w:rPr>
                <w:rFonts w:ascii="Century Gothic" w:hAnsi="Century Gothic" w:cs="Open Sans Light"/>
                <w:b/>
                <w:bCs/>
                <w:sz w:val="18"/>
                <w:szCs w:val="18"/>
              </w:rPr>
            </w:pPr>
            <w:r w:rsidRPr="006A2412">
              <w:rPr>
                <w:rFonts w:ascii="Century Gothic" w:hAnsi="Century Gothic" w:cs="Open Sans Light"/>
                <w:b/>
                <w:bCs/>
                <w:sz w:val="18"/>
                <w:szCs w:val="18"/>
              </w:rPr>
              <w:t>Example of fees</w:t>
            </w:r>
          </w:p>
          <w:p w14:paraId="0656F7EB" w14:textId="4DF3BAB9" w:rsidR="00D6067B" w:rsidRPr="006A2412" w:rsidRDefault="00D6067B" w:rsidP="00611F67">
            <w:pPr>
              <w:rPr>
                <w:rFonts w:ascii="Century Gothic" w:hAnsi="Century Gothic" w:cs="Open Sans Light"/>
                <w:sz w:val="18"/>
                <w:szCs w:val="18"/>
              </w:rPr>
            </w:pPr>
            <w:r w:rsidRPr="006A2412">
              <w:rPr>
                <w:rFonts w:ascii="Century Gothic" w:hAnsi="Century Gothic" w:cs="Open Sans Light"/>
                <w:sz w:val="18"/>
                <w:szCs w:val="18"/>
              </w:rPr>
              <w:t>We have set out below what our ongoing fees would be on different investment amounts:</w:t>
            </w:r>
          </w:p>
          <w:p w14:paraId="5171AE8A" w14:textId="35AB51E6" w:rsidR="00D6067B" w:rsidRPr="006A2412" w:rsidRDefault="00D6067B" w:rsidP="00D6067B">
            <w:pPr>
              <w:pStyle w:val="ListParagraph"/>
              <w:numPr>
                <w:ilvl w:val="0"/>
                <w:numId w:val="21"/>
              </w:numPr>
              <w:suppressAutoHyphens/>
              <w:autoSpaceDN w:val="0"/>
              <w:spacing w:after="0" w:line="240" w:lineRule="auto"/>
              <w:contextualSpacing w:val="0"/>
              <w:textAlignment w:val="baseline"/>
              <w:rPr>
                <w:rFonts w:ascii="Century Gothic" w:hAnsi="Century Gothic" w:cs="Open Sans Light"/>
                <w:sz w:val="18"/>
                <w:szCs w:val="18"/>
              </w:rPr>
            </w:pPr>
            <w:r w:rsidRPr="006A2412">
              <w:rPr>
                <w:rFonts w:ascii="Century Gothic" w:hAnsi="Century Gothic" w:cs="Open Sans Light"/>
                <w:sz w:val="18"/>
                <w:szCs w:val="18"/>
              </w:rPr>
              <w:t>£</w:t>
            </w:r>
            <w:r w:rsidR="007800F0">
              <w:rPr>
                <w:rFonts w:ascii="Century Gothic" w:hAnsi="Century Gothic" w:cs="Open Sans Light"/>
                <w:sz w:val="18"/>
                <w:szCs w:val="18"/>
              </w:rPr>
              <w:t>50</w:t>
            </w:r>
            <w:r w:rsidR="00014FE0" w:rsidRPr="006A2412">
              <w:rPr>
                <w:rFonts w:ascii="Century Gothic" w:hAnsi="Century Gothic" w:cs="Open Sans Light"/>
                <w:sz w:val="18"/>
                <w:szCs w:val="18"/>
              </w:rPr>
              <w:t>,000</w:t>
            </w:r>
            <w:r w:rsidRPr="006A2412">
              <w:rPr>
                <w:rFonts w:ascii="Century Gothic" w:hAnsi="Century Gothic" w:cs="Open Sans Light"/>
                <w:sz w:val="18"/>
                <w:szCs w:val="18"/>
              </w:rPr>
              <w:t xml:space="preserve"> invested, the fee would be £</w:t>
            </w:r>
            <w:r w:rsidR="007800F0">
              <w:rPr>
                <w:rFonts w:ascii="Century Gothic" w:hAnsi="Century Gothic" w:cs="Open Sans Light"/>
                <w:sz w:val="18"/>
                <w:szCs w:val="18"/>
              </w:rPr>
              <w:t>500</w:t>
            </w:r>
            <w:r w:rsidRPr="006A2412">
              <w:rPr>
                <w:rFonts w:ascii="Century Gothic" w:hAnsi="Century Gothic" w:cs="Open Sans Light"/>
                <w:sz w:val="18"/>
                <w:szCs w:val="18"/>
              </w:rPr>
              <w:t xml:space="preserve"> p.a</w:t>
            </w:r>
            <w:r w:rsidR="00E1542D" w:rsidRPr="006A2412">
              <w:rPr>
                <w:rFonts w:ascii="Century Gothic" w:hAnsi="Century Gothic" w:cs="Open Sans Light"/>
                <w:sz w:val="18"/>
                <w:szCs w:val="18"/>
              </w:rPr>
              <w:t>.</w:t>
            </w:r>
          </w:p>
          <w:p w14:paraId="7625B1BC" w14:textId="52BAE52C" w:rsidR="00D6067B" w:rsidRPr="006A2412" w:rsidRDefault="00D6067B" w:rsidP="00014FE0">
            <w:pPr>
              <w:pStyle w:val="ListParagraph"/>
              <w:numPr>
                <w:ilvl w:val="0"/>
                <w:numId w:val="21"/>
              </w:numPr>
              <w:suppressAutoHyphens/>
              <w:autoSpaceDN w:val="0"/>
              <w:spacing w:after="0" w:line="240" w:lineRule="auto"/>
              <w:contextualSpacing w:val="0"/>
              <w:textAlignment w:val="baseline"/>
              <w:rPr>
                <w:rFonts w:ascii="Century Gothic" w:hAnsi="Century Gothic" w:cs="Open Sans Light"/>
                <w:sz w:val="18"/>
                <w:szCs w:val="18"/>
              </w:rPr>
            </w:pPr>
            <w:r w:rsidRPr="006A2412">
              <w:rPr>
                <w:rFonts w:ascii="Century Gothic" w:hAnsi="Century Gothic" w:cs="Open Sans Light"/>
                <w:sz w:val="18"/>
                <w:szCs w:val="18"/>
              </w:rPr>
              <w:t>£</w:t>
            </w:r>
            <w:r w:rsidR="00014FE0" w:rsidRPr="006A2412">
              <w:rPr>
                <w:rFonts w:ascii="Century Gothic" w:hAnsi="Century Gothic" w:cs="Open Sans Light"/>
                <w:sz w:val="18"/>
                <w:szCs w:val="18"/>
              </w:rPr>
              <w:t>250,000</w:t>
            </w:r>
            <w:r w:rsidRPr="006A2412">
              <w:rPr>
                <w:rFonts w:ascii="Century Gothic" w:hAnsi="Century Gothic" w:cs="Open Sans Light"/>
                <w:sz w:val="18"/>
                <w:szCs w:val="18"/>
              </w:rPr>
              <w:t xml:space="preserve"> invested, the fee would be £</w:t>
            </w:r>
            <w:r w:rsidR="00E1542D" w:rsidRPr="006A2412">
              <w:rPr>
                <w:rFonts w:ascii="Century Gothic" w:hAnsi="Century Gothic" w:cs="Open Sans Light"/>
                <w:sz w:val="18"/>
                <w:szCs w:val="18"/>
              </w:rPr>
              <w:t>1,875</w:t>
            </w:r>
            <w:r w:rsidRPr="006A2412">
              <w:rPr>
                <w:rFonts w:ascii="Century Gothic" w:hAnsi="Century Gothic" w:cs="Open Sans Light"/>
                <w:sz w:val="18"/>
                <w:szCs w:val="18"/>
              </w:rPr>
              <w:t xml:space="preserve"> p.a.</w:t>
            </w:r>
          </w:p>
          <w:p w14:paraId="1366585D" w14:textId="325BAEA6" w:rsidR="00014FE0" w:rsidRPr="006A2412" w:rsidRDefault="00014FE0" w:rsidP="007800F0">
            <w:pPr>
              <w:pStyle w:val="ListParagraph"/>
              <w:numPr>
                <w:ilvl w:val="0"/>
                <w:numId w:val="21"/>
              </w:numPr>
              <w:suppressAutoHyphens/>
              <w:autoSpaceDN w:val="0"/>
              <w:spacing w:after="0" w:line="240" w:lineRule="auto"/>
              <w:contextualSpacing w:val="0"/>
              <w:textAlignment w:val="baseline"/>
              <w:rPr>
                <w:rFonts w:ascii="Century Gothic" w:hAnsi="Century Gothic" w:cs="Open Sans Light"/>
                <w:sz w:val="18"/>
                <w:szCs w:val="18"/>
              </w:rPr>
            </w:pPr>
            <w:r w:rsidRPr="006A2412">
              <w:rPr>
                <w:rFonts w:ascii="Century Gothic" w:hAnsi="Century Gothic" w:cs="Open Sans Light"/>
                <w:sz w:val="18"/>
                <w:szCs w:val="18"/>
              </w:rPr>
              <w:t>£</w:t>
            </w:r>
            <w:r w:rsidR="00E1542D" w:rsidRPr="006A2412">
              <w:rPr>
                <w:rFonts w:ascii="Century Gothic" w:hAnsi="Century Gothic" w:cs="Open Sans Light"/>
                <w:sz w:val="18"/>
                <w:szCs w:val="18"/>
              </w:rPr>
              <w:t>500</w:t>
            </w:r>
            <w:r w:rsidRPr="006A2412">
              <w:rPr>
                <w:rFonts w:ascii="Century Gothic" w:hAnsi="Century Gothic" w:cs="Open Sans Light"/>
                <w:sz w:val="18"/>
                <w:szCs w:val="18"/>
              </w:rPr>
              <w:t>,000 invested, the fee would be £</w:t>
            </w:r>
            <w:r w:rsidR="00E1542D" w:rsidRPr="006A2412">
              <w:rPr>
                <w:rFonts w:ascii="Century Gothic" w:hAnsi="Century Gothic" w:cs="Open Sans Light"/>
                <w:sz w:val="18"/>
                <w:szCs w:val="18"/>
              </w:rPr>
              <w:t>2,500</w:t>
            </w:r>
            <w:r w:rsidRPr="006A2412">
              <w:rPr>
                <w:rFonts w:ascii="Century Gothic" w:hAnsi="Century Gothic" w:cs="Open Sans Light"/>
                <w:sz w:val="18"/>
                <w:szCs w:val="18"/>
              </w:rPr>
              <w:t xml:space="preserve"> p.a.</w:t>
            </w:r>
          </w:p>
        </w:tc>
      </w:tr>
      <w:bookmarkEnd w:id="1"/>
      <w:bookmarkEnd w:id="3"/>
    </w:tbl>
    <w:p w14:paraId="277D5532" w14:textId="77777777" w:rsidR="007800F0" w:rsidRDefault="007800F0" w:rsidP="0024159B">
      <w:pPr>
        <w:rPr>
          <w:rFonts w:ascii="Century Gothic" w:hAnsi="Century Gothic" w:cs="Open Sans Light"/>
          <w:b/>
          <w:bCs/>
          <w:sz w:val="18"/>
          <w:szCs w:val="18"/>
        </w:rPr>
      </w:pPr>
    </w:p>
    <w:p w14:paraId="120599BE" w14:textId="728D081E" w:rsidR="0024159B" w:rsidRPr="0024159B" w:rsidRDefault="0024159B" w:rsidP="0024159B">
      <w:pPr>
        <w:rPr>
          <w:rFonts w:ascii="Century Gothic" w:hAnsi="Century Gothic" w:cs="Open Sans Light"/>
          <w:b/>
          <w:bCs/>
          <w:sz w:val="18"/>
          <w:szCs w:val="18"/>
          <w:lang w:val="en-GB"/>
        </w:rPr>
      </w:pPr>
      <w:r w:rsidRPr="0024159B">
        <w:rPr>
          <w:rFonts w:ascii="Century Gothic" w:hAnsi="Century Gothic" w:cs="Open Sans Light"/>
          <w:b/>
          <w:bCs/>
          <w:sz w:val="18"/>
          <w:szCs w:val="18"/>
        </w:rPr>
        <w:t xml:space="preserve">Minimum fees </w:t>
      </w:r>
    </w:p>
    <w:p w14:paraId="7BE7C3AB" w14:textId="77777777" w:rsidR="0024159B" w:rsidRPr="0024159B" w:rsidRDefault="0024159B" w:rsidP="0024159B">
      <w:pPr>
        <w:rPr>
          <w:rFonts w:ascii="Century Gothic" w:hAnsi="Century Gothic" w:cs="Open Sans Light"/>
          <w:sz w:val="18"/>
          <w:szCs w:val="18"/>
        </w:rPr>
      </w:pPr>
    </w:p>
    <w:tbl>
      <w:tblPr>
        <w:tblW w:w="5000" w:type="pct"/>
        <w:tblCellMar>
          <w:left w:w="0" w:type="dxa"/>
          <w:right w:w="0" w:type="dxa"/>
        </w:tblCellMar>
        <w:tblLook w:val="04A0" w:firstRow="1" w:lastRow="0" w:firstColumn="1" w:lastColumn="0" w:noHBand="0" w:noVBand="1"/>
      </w:tblPr>
      <w:tblGrid>
        <w:gridCol w:w="905"/>
        <w:gridCol w:w="8458"/>
      </w:tblGrid>
      <w:tr w:rsidR="0024159B" w:rsidRPr="0024159B" w14:paraId="2D07F8DA" w14:textId="77777777">
        <w:tc>
          <w:tcPr>
            <w:tcW w:w="876" w:type="dxa"/>
            <w:tcBorders>
              <w:top w:val="single" w:sz="8" w:space="0" w:color="4EA72E"/>
              <w:left w:val="single" w:sz="8" w:space="0" w:color="4EA72E"/>
              <w:bottom w:val="single" w:sz="8" w:space="0" w:color="4EA72E"/>
              <w:right w:val="single" w:sz="8" w:space="0" w:color="4EA72E"/>
            </w:tcBorders>
            <w:shd w:val="clear" w:color="auto" w:fill="FFF8EF"/>
            <w:tcMar>
              <w:top w:w="113" w:type="dxa"/>
              <w:left w:w="108" w:type="dxa"/>
              <w:bottom w:w="113" w:type="dxa"/>
              <w:right w:w="108" w:type="dxa"/>
            </w:tcMar>
            <w:vAlign w:val="center"/>
            <w:hideMark/>
          </w:tcPr>
          <w:p w14:paraId="054A796D" w14:textId="41DA4FE9" w:rsidR="0024159B" w:rsidRPr="0024159B" w:rsidRDefault="0024159B">
            <w:pPr>
              <w:rPr>
                <w:rFonts w:ascii="Century Gothic" w:hAnsi="Century Gothic" w:cs="Open Sans Light"/>
                <w:sz w:val="18"/>
                <w:szCs w:val="18"/>
              </w:rPr>
            </w:pPr>
            <w:r w:rsidRPr="0024159B">
              <w:rPr>
                <w:rFonts w:ascii="Century Gothic" w:hAnsi="Century Gothic" w:cs="Open Sans Light"/>
                <w:noProof/>
                <w:color w:val="000000"/>
                <w:sz w:val="18"/>
                <w:szCs w:val="18"/>
              </w:rPr>
              <w:drawing>
                <wp:inline distT="0" distB="0" distL="0" distR="0" wp14:anchorId="497B15F1" wp14:editId="57250269">
                  <wp:extent cx="411480" cy="411480"/>
                  <wp:effectExtent l="0" t="0" r="7620" b="7620"/>
                  <wp:docPr id="18684585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pic:cNvPicPr>
                            <a:picLocks noChangeAspect="1" noChangeArrowheads="1"/>
                          </pic:cNvPicPr>
                        </pic:nvPicPr>
                        <pic:blipFill>
                          <a:blip r:embed="rId8" r:link="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p>
        </w:tc>
        <w:tc>
          <w:tcPr>
            <w:tcW w:w="8191" w:type="dxa"/>
            <w:tcBorders>
              <w:top w:val="single" w:sz="8" w:space="0" w:color="4EA72E"/>
              <w:left w:val="nil"/>
              <w:bottom w:val="single" w:sz="8" w:space="0" w:color="4EA72E"/>
              <w:right w:val="single" w:sz="8" w:space="0" w:color="4EA72E"/>
            </w:tcBorders>
            <w:shd w:val="clear" w:color="auto" w:fill="FFF8EF"/>
            <w:tcMar>
              <w:top w:w="113" w:type="dxa"/>
              <w:left w:w="108" w:type="dxa"/>
              <w:bottom w:w="113" w:type="dxa"/>
              <w:right w:w="108" w:type="dxa"/>
            </w:tcMar>
            <w:vAlign w:val="center"/>
            <w:hideMark/>
          </w:tcPr>
          <w:p w14:paraId="1520F948" w14:textId="77777777" w:rsidR="0024159B" w:rsidRPr="0024159B" w:rsidRDefault="0024159B">
            <w:pPr>
              <w:rPr>
                <w:rFonts w:ascii="Century Gothic" w:hAnsi="Century Gothic" w:cs="Open Sans Light"/>
                <w:sz w:val="18"/>
                <w:szCs w:val="18"/>
              </w:rPr>
            </w:pPr>
            <w:r w:rsidRPr="0024159B">
              <w:rPr>
                <w:rFonts w:ascii="Century Gothic" w:hAnsi="Century Gothic" w:cs="Open Sans Light"/>
                <w:color w:val="000000"/>
                <w:sz w:val="18"/>
                <w:szCs w:val="18"/>
              </w:rPr>
              <w:t>Where the cost of the advice you need is below our minimum fee level, your adviser will let you know and discuss this with you so you can make an informed decision about the best option for you.</w:t>
            </w:r>
          </w:p>
        </w:tc>
      </w:tr>
    </w:tbl>
    <w:p w14:paraId="25E297CB" w14:textId="77777777" w:rsidR="0024159B" w:rsidRPr="0024159B" w:rsidRDefault="0024159B" w:rsidP="0024159B">
      <w:pPr>
        <w:rPr>
          <w:rFonts w:ascii="Century Gothic" w:eastAsiaTheme="minorHAnsi" w:hAnsi="Century Gothic" w:cs="Open Sans Light"/>
          <w:sz w:val="18"/>
          <w:szCs w:val="18"/>
        </w:rPr>
      </w:pPr>
    </w:p>
    <w:p w14:paraId="00E5FD00" w14:textId="77777777" w:rsidR="0024159B" w:rsidRPr="0024159B" w:rsidRDefault="0024159B" w:rsidP="0024159B">
      <w:pPr>
        <w:rPr>
          <w:rFonts w:ascii="Century Gothic" w:hAnsi="Century Gothic" w:cs="Open Sans Light"/>
          <w:sz w:val="18"/>
          <w:szCs w:val="18"/>
        </w:rPr>
      </w:pPr>
      <w:r w:rsidRPr="0024159B">
        <w:rPr>
          <w:rFonts w:ascii="Century Gothic" w:hAnsi="Century Gothic" w:cs="Open Sans Light"/>
          <w:sz w:val="18"/>
          <w:szCs w:val="18"/>
        </w:rPr>
        <w:t xml:space="preserve">We apply minimum fees to: </w:t>
      </w:r>
    </w:p>
    <w:p w14:paraId="12278999" w14:textId="77777777" w:rsidR="0024159B" w:rsidRPr="0024159B" w:rsidRDefault="0024159B" w:rsidP="0024159B">
      <w:pPr>
        <w:rPr>
          <w:rFonts w:ascii="Century Gothic" w:hAnsi="Century Gothic" w:cs="Open Sans Light"/>
          <w:sz w:val="18"/>
          <w:szCs w:val="18"/>
        </w:rPr>
      </w:pPr>
    </w:p>
    <w:p w14:paraId="11D66696" w14:textId="77777777" w:rsidR="0024159B" w:rsidRPr="0024159B" w:rsidRDefault="0024159B" w:rsidP="0024159B">
      <w:pPr>
        <w:numPr>
          <w:ilvl w:val="0"/>
          <w:numId w:val="29"/>
        </w:numPr>
        <w:rPr>
          <w:rFonts w:ascii="Century Gothic" w:hAnsi="Century Gothic" w:cs="Open Sans Light"/>
          <w:sz w:val="18"/>
          <w:szCs w:val="18"/>
        </w:rPr>
      </w:pPr>
      <w:r w:rsidRPr="0024159B">
        <w:rPr>
          <w:rFonts w:ascii="Century Gothic" w:hAnsi="Century Gothic" w:cs="Open Sans Light"/>
          <w:sz w:val="18"/>
          <w:szCs w:val="18"/>
        </w:rPr>
        <w:t xml:space="preserve">Our standard advice services – in other words, advice which includes a personal recommendation to you. </w:t>
      </w:r>
    </w:p>
    <w:p w14:paraId="692A49B7" w14:textId="77777777" w:rsidR="0024159B" w:rsidRPr="0024159B" w:rsidRDefault="0024159B" w:rsidP="0024159B">
      <w:pPr>
        <w:numPr>
          <w:ilvl w:val="0"/>
          <w:numId w:val="29"/>
        </w:numPr>
        <w:rPr>
          <w:rFonts w:ascii="Century Gothic" w:hAnsi="Century Gothic" w:cs="Open Sans Light"/>
          <w:sz w:val="18"/>
          <w:szCs w:val="18"/>
        </w:rPr>
      </w:pPr>
      <w:r w:rsidRPr="0024159B">
        <w:rPr>
          <w:rFonts w:ascii="Century Gothic" w:hAnsi="Century Gothic" w:cs="Open Sans Light"/>
          <w:sz w:val="18"/>
          <w:szCs w:val="18"/>
        </w:rPr>
        <w:t>Work we perform for you outside of our standard services. Where this is the case, we will tell you before we start.</w:t>
      </w:r>
    </w:p>
    <w:p w14:paraId="165AE30A" w14:textId="77777777" w:rsidR="0024159B" w:rsidRPr="0024159B" w:rsidRDefault="0024159B" w:rsidP="0024159B">
      <w:pPr>
        <w:rPr>
          <w:rFonts w:ascii="Century Gothic" w:eastAsiaTheme="minorHAnsi" w:hAnsi="Century Gothic" w:cs="Open Sans Light"/>
          <w:sz w:val="18"/>
          <w:szCs w:val="18"/>
        </w:rPr>
      </w:pPr>
    </w:p>
    <w:p w14:paraId="37C4A17E" w14:textId="0453DE22" w:rsidR="0024159B" w:rsidRPr="0013341C" w:rsidRDefault="0024159B" w:rsidP="0024159B">
      <w:pPr>
        <w:rPr>
          <w:rFonts w:ascii="Century Gothic" w:hAnsi="Century Gothic" w:cs="Open Sans Light"/>
          <w:sz w:val="18"/>
          <w:szCs w:val="18"/>
        </w:rPr>
      </w:pPr>
      <w:r w:rsidRPr="0013341C">
        <w:rPr>
          <w:rFonts w:ascii="Century Gothic" w:hAnsi="Century Gothic" w:cs="Open Sans Light"/>
          <w:sz w:val="18"/>
          <w:szCs w:val="18"/>
        </w:rPr>
        <w:lastRenderedPageBreak/>
        <w:t>The minimum advice fee for our initial advice service is £</w:t>
      </w:r>
      <w:r w:rsidR="005B4B22" w:rsidRPr="0013341C">
        <w:rPr>
          <w:rFonts w:ascii="Century Gothic" w:hAnsi="Century Gothic" w:cs="Open Sans Light"/>
          <w:sz w:val="18"/>
          <w:szCs w:val="18"/>
        </w:rPr>
        <w:t>2</w:t>
      </w:r>
      <w:r w:rsidR="004229CD" w:rsidRPr="0013341C">
        <w:rPr>
          <w:rFonts w:ascii="Century Gothic" w:hAnsi="Century Gothic" w:cs="Open Sans Light"/>
          <w:sz w:val="18"/>
          <w:szCs w:val="18"/>
        </w:rPr>
        <w:t>95</w:t>
      </w:r>
      <w:r w:rsidRPr="0013341C">
        <w:rPr>
          <w:rFonts w:ascii="Century Gothic" w:hAnsi="Century Gothic" w:cs="Open Sans Light"/>
          <w:sz w:val="18"/>
          <w:szCs w:val="18"/>
        </w:rPr>
        <w:t>. The minimum fee for our ongoing advice service is £500 p.a.</w:t>
      </w:r>
    </w:p>
    <w:p w14:paraId="29A05922" w14:textId="77777777" w:rsidR="0024159B" w:rsidRPr="0024159B" w:rsidRDefault="0024159B" w:rsidP="00A167BE">
      <w:pPr>
        <w:pStyle w:val="Body1"/>
        <w:spacing w:after="0" w:line="240" w:lineRule="auto"/>
        <w:rPr>
          <w:rFonts w:ascii="Century Gothic" w:hAnsi="Century Gothic"/>
          <w:b/>
          <w:color w:val="EE0000"/>
          <w:sz w:val="24"/>
          <w:szCs w:val="24"/>
          <w:lang w:val="en-US"/>
        </w:rPr>
      </w:pPr>
    </w:p>
    <w:p w14:paraId="43C14E6F" w14:textId="09815812" w:rsidR="00A167BE" w:rsidRDefault="00A167BE" w:rsidP="00A167BE">
      <w:pPr>
        <w:pStyle w:val="Body1"/>
        <w:spacing w:after="0" w:line="240" w:lineRule="auto"/>
        <w:rPr>
          <w:rFonts w:ascii="Century Gothic" w:hAnsi="Century Gothic"/>
          <w:b/>
          <w:color w:val="000000" w:themeColor="text1"/>
          <w:sz w:val="24"/>
          <w:szCs w:val="24"/>
        </w:rPr>
      </w:pPr>
      <w:r>
        <w:rPr>
          <w:rFonts w:ascii="Century Gothic" w:hAnsi="Century Gothic"/>
          <w:b/>
          <w:color w:val="000000" w:themeColor="text1"/>
          <w:sz w:val="24"/>
          <w:szCs w:val="24"/>
        </w:rPr>
        <w:t>Fixed and ad-hoc service fees</w:t>
      </w:r>
    </w:p>
    <w:p w14:paraId="69EACC51" w14:textId="77777777" w:rsidR="00A167BE" w:rsidRDefault="00A167BE" w:rsidP="00A167BE">
      <w:pPr>
        <w:rPr>
          <w:rFonts w:ascii="Century Gothic" w:hAnsi="Century Gothic"/>
          <w:sz w:val="18"/>
          <w:szCs w:val="18"/>
        </w:rPr>
      </w:pPr>
    </w:p>
    <w:p w14:paraId="6FAD3104" w14:textId="77777777" w:rsidR="00A167BE" w:rsidRPr="00F0524D" w:rsidRDefault="00A167BE" w:rsidP="00A167BE">
      <w:pPr>
        <w:rPr>
          <w:rFonts w:ascii="Century Gothic" w:hAnsi="Century Gothic" w:cs="Open Sans Light"/>
          <w:sz w:val="18"/>
          <w:szCs w:val="18"/>
        </w:rPr>
      </w:pPr>
      <w:r w:rsidRPr="00F0524D">
        <w:rPr>
          <w:rFonts w:ascii="Century Gothic" w:hAnsi="Century Gothic" w:cs="Open Sans Light"/>
          <w:sz w:val="18"/>
          <w:szCs w:val="18"/>
        </w:rPr>
        <w:t xml:space="preserve">For new or existing clients who need ‘ad hoc’ advice where they are not receiving an ‘ongoing service’ from us or the service required is not included within their service agreement, we offer a range of advice services at fixed rates. For complete transparency and so that you can be certain of the fee that you’ll pay for our advice, following your initial consultation, your adviser will confirm the fee before performing any work on your behalf. </w:t>
      </w:r>
    </w:p>
    <w:p w14:paraId="623E4E60" w14:textId="77777777" w:rsidR="00A167BE" w:rsidRPr="00F0524D" w:rsidRDefault="00A167BE" w:rsidP="00A167BE">
      <w:pPr>
        <w:rPr>
          <w:rFonts w:ascii="Century Gothic" w:hAnsi="Century Gothic"/>
          <w:sz w:val="18"/>
          <w:szCs w:val="18"/>
        </w:rPr>
      </w:pPr>
    </w:p>
    <w:p w14:paraId="0B51B6AF" w14:textId="77777777" w:rsidR="00A167BE" w:rsidRPr="00F0524D" w:rsidRDefault="00A167BE" w:rsidP="00A167BE">
      <w:pPr>
        <w:rPr>
          <w:rFonts w:ascii="Century Gothic" w:hAnsi="Century Gothic"/>
          <w:sz w:val="18"/>
          <w:szCs w:val="18"/>
        </w:rPr>
      </w:pPr>
      <w:r w:rsidRPr="00F0524D">
        <w:rPr>
          <w:rFonts w:ascii="Century Gothic" w:hAnsi="Century Gothic"/>
          <w:sz w:val="18"/>
          <w:szCs w:val="18"/>
        </w:rPr>
        <w:t>Typically, our rates are:</w:t>
      </w:r>
    </w:p>
    <w:p w14:paraId="670697D3" w14:textId="77777777" w:rsidR="003330D1" w:rsidRPr="00CC2711" w:rsidRDefault="003330D1" w:rsidP="003330D1">
      <w:pPr>
        <w:rPr>
          <w:rFonts w:ascii="Century Gothic" w:hAnsi="Century Gothic"/>
          <w:sz w:val="18"/>
          <w:szCs w:val="18"/>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8"/>
        <w:gridCol w:w="1560"/>
      </w:tblGrid>
      <w:tr w:rsidR="003330D1" w:rsidRPr="00CC2711" w14:paraId="5F16A1F3" w14:textId="77777777" w:rsidTr="00164884">
        <w:trPr>
          <w:cantSplit/>
          <w:trHeight w:val="350"/>
        </w:trPr>
        <w:tc>
          <w:tcPr>
            <w:tcW w:w="7938" w:type="dxa"/>
            <w:tcMar>
              <w:top w:w="80" w:type="dxa"/>
              <w:left w:w="0" w:type="dxa"/>
              <w:bottom w:w="80" w:type="dxa"/>
              <w:right w:w="0" w:type="dxa"/>
            </w:tcMar>
            <w:vAlign w:val="center"/>
          </w:tcPr>
          <w:p w14:paraId="02FB5991" w14:textId="77777777" w:rsidR="003330D1" w:rsidRPr="00CC2711" w:rsidRDefault="003330D1" w:rsidP="0003467F">
            <w:pPr>
              <w:rPr>
                <w:rFonts w:ascii="Century Gothic" w:eastAsia="Arial Unicode MS" w:hAnsi="Century Gothic"/>
                <w:sz w:val="18"/>
                <w:szCs w:val="18"/>
                <w:u w:color="000000"/>
              </w:rPr>
            </w:pPr>
            <w:r w:rsidRPr="00CC2711">
              <w:rPr>
                <w:rFonts w:ascii="Century Gothic" w:eastAsia="Arial Unicode MS" w:hAnsi="Century Gothic"/>
                <w:sz w:val="18"/>
                <w:szCs w:val="18"/>
                <w:u w:color="000000"/>
              </w:rPr>
              <w:t xml:space="preserve"> Meeting to review your financial planning, confirm your existing provisions, and</w:t>
            </w:r>
            <w:r w:rsidRPr="00CC2711">
              <w:rPr>
                <w:rFonts w:ascii="Century Gothic" w:eastAsia="Arial Unicode MS" w:hAnsi="Century Gothic"/>
                <w:sz w:val="18"/>
                <w:szCs w:val="18"/>
                <w:u w:color="000000"/>
              </w:rPr>
              <w:br/>
              <w:t xml:space="preserve"> identify areas of need and/or concern.  This can be in the comfort of your own </w:t>
            </w:r>
            <w:r w:rsidRPr="00CC2711">
              <w:rPr>
                <w:rFonts w:ascii="Century Gothic" w:eastAsia="Arial Unicode MS" w:hAnsi="Century Gothic"/>
                <w:sz w:val="18"/>
                <w:szCs w:val="18"/>
                <w:u w:color="000000"/>
              </w:rPr>
              <w:br/>
              <w:t xml:space="preserve"> home, a location which we can arrange or virtual system such as Teams/Zoom</w:t>
            </w:r>
          </w:p>
        </w:tc>
        <w:tc>
          <w:tcPr>
            <w:tcW w:w="1560" w:type="dxa"/>
          </w:tcPr>
          <w:p w14:paraId="7FA7AFF7" w14:textId="77777777" w:rsidR="003330D1" w:rsidRPr="00CC2711" w:rsidRDefault="003330D1" w:rsidP="0003467F">
            <w:pPr>
              <w:rPr>
                <w:rFonts w:ascii="Century Gothic" w:eastAsia="Arial Unicode MS" w:hAnsi="Century Gothic"/>
                <w:b/>
                <w:sz w:val="18"/>
                <w:szCs w:val="18"/>
                <w:u w:color="000000"/>
              </w:rPr>
            </w:pPr>
            <w:r w:rsidRPr="00CC2711">
              <w:rPr>
                <w:rFonts w:ascii="Century Gothic" w:eastAsia="Arial Unicode MS" w:hAnsi="Century Gothic"/>
                <w:b/>
                <w:sz w:val="18"/>
                <w:szCs w:val="18"/>
                <w:u w:color="000000"/>
              </w:rPr>
              <w:t xml:space="preserve">£750 </w:t>
            </w:r>
          </w:p>
        </w:tc>
      </w:tr>
      <w:tr w:rsidR="003330D1" w:rsidRPr="00CC2711" w14:paraId="040F5A68" w14:textId="77777777" w:rsidTr="00164884">
        <w:trPr>
          <w:cantSplit/>
          <w:trHeight w:val="350"/>
        </w:trPr>
        <w:tc>
          <w:tcPr>
            <w:tcW w:w="7938" w:type="dxa"/>
            <w:tcMar>
              <w:top w:w="80" w:type="dxa"/>
              <w:left w:w="0" w:type="dxa"/>
              <w:bottom w:w="80" w:type="dxa"/>
              <w:right w:w="0" w:type="dxa"/>
            </w:tcMar>
            <w:vAlign w:val="center"/>
          </w:tcPr>
          <w:p w14:paraId="024FC491" w14:textId="77777777" w:rsidR="003330D1" w:rsidRPr="00CC2711" w:rsidRDefault="003330D1" w:rsidP="0003467F">
            <w:pPr>
              <w:rPr>
                <w:rFonts w:ascii="Century Gothic" w:eastAsia="Arial Unicode MS" w:hAnsi="Century Gothic"/>
                <w:sz w:val="18"/>
                <w:szCs w:val="18"/>
                <w:u w:color="000000"/>
              </w:rPr>
            </w:pPr>
            <w:r w:rsidRPr="00CC2711">
              <w:rPr>
                <w:rFonts w:ascii="Century Gothic" w:eastAsia="Arial Unicode MS" w:hAnsi="Century Gothic"/>
                <w:sz w:val="18"/>
                <w:szCs w:val="18"/>
                <w:u w:color="000000"/>
              </w:rPr>
              <w:t xml:space="preserve"> Advice and recommendation to address an agreed area of need  </w:t>
            </w:r>
            <w:r w:rsidRPr="00CC2711">
              <w:rPr>
                <w:rFonts w:ascii="Century Gothic" w:eastAsia="Arial Unicode MS" w:hAnsi="Century Gothic"/>
                <w:sz w:val="18"/>
                <w:szCs w:val="18"/>
                <w:u w:color="000000"/>
              </w:rPr>
              <w:br/>
              <w:t xml:space="preserve"> /concern (</w:t>
            </w:r>
            <w:proofErr w:type="gramStart"/>
            <w:r w:rsidRPr="00CC2711">
              <w:rPr>
                <w:rFonts w:ascii="Century Gothic" w:eastAsia="Arial Unicode MS" w:hAnsi="Century Gothic"/>
                <w:sz w:val="18"/>
                <w:szCs w:val="18"/>
                <w:u w:color="000000"/>
              </w:rPr>
              <w:t>e.g.</w:t>
            </w:r>
            <w:proofErr w:type="gramEnd"/>
            <w:r w:rsidRPr="00CC2711">
              <w:rPr>
                <w:rFonts w:ascii="Century Gothic" w:eastAsia="Arial Unicode MS" w:hAnsi="Century Gothic"/>
                <w:sz w:val="18"/>
                <w:szCs w:val="18"/>
                <w:u w:color="000000"/>
              </w:rPr>
              <w:t xml:space="preserve"> retirement planning, estate planning, investment solution)</w:t>
            </w:r>
          </w:p>
        </w:tc>
        <w:tc>
          <w:tcPr>
            <w:tcW w:w="1560" w:type="dxa"/>
          </w:tcPr>
          <w:p w14:paraId="4934A79F" w14:textId="77777777" w:rsidR="003330D1" w:rsidRPr="00CC2711" w:rsidRDefault="003330D1" w:rsidP="0003467F">
            <w:pPr>
              <w:rPr>
                <w:rFonts w:ascii="Century Gothic" w:eastAsia="Arial Unicode MS" w:hAnsi="Century Gothic"/>
                <w:b/>
                <w:sz w:val="18"/>
                <w:szCs w:val="18"/>
                <w:u w:color="000000"/>
              </w:rPr>
            </w:pPr>
            <w:r w:rsidRPr="00CC2711">
              <w:rPr>
                <w:rFonts w:ascii="Century Gothic" w:eastAsia="Arial Unicode MS" w:hAnsi="Century Gothic"/>
                <w:b/>
                <w:sz w:val="18"/>
                <w:szCs w:val="18"/>
                <w:u w:color="000000"/>
              </w:rPr>
              <w:t>£750</w:t>
            </w:r>
          </w:p>
        </w:tc>
      </w:tr>
      <w:tr w:rsidR="003330D1" w:rsidRPr="00CC2711" w14:paraId="3438C7E9" w14:textId="77777777" w:rsidTr="00164884">
        <w:trPr>
          <w:cantSplit/>
          <w:trHeight w:val="350"/>
        </w:trPr>
        <w:tc>
          <w:tcPr>
            <w:tcW w:w="7938" w:type="dxa"/>
            <w:tcMar>
              <w:top w:w="80" w:type="dxa"/>
              <w:left w:w="0" w:type="dxa"/>
              <w:bottom w:w="80" w:type="dxa"/>
              <w:right w:w="0" w:type="dxa"/>
            </w:tcMar>
            <w:vAlign w:val="center"/>
          </w:tcPr>
          <w:p w14:paraId="5C0BF184" w14:textId="77777777" w:rsidR="003330D1" w:rsidRPr="00CC2711" w:rsidRDefault="003330D1" w:rsidP="0003467F">
            <w:pPr>
              <w:rPr>
                <w:rFonts w:ascii="Century Gothic" w:eastAsia="Arial Unicode MS" w:hAnsi="Century Gothic"/>
                <w:sz w:val="18"/>
                <w:szCs w:val="18"/>
                <w:u w:color="000000"/>
              </w:rPr>
            </w:pPr>
            <w:r w:rsidRPr="00CC2711">
              <w:rPr>
                <w:rFonts w:ascii="Century Gothic" w:eastAsia="Arial Unicode MS" w:hAnsi="Century Gothic"/>
                <w:sz w:val="18"/>
                <w:szCs w:val="18"/>
                <w:u w:color="000000"/>
              </w:rPr>
              <w:t xml:space="preserve"> Additional research fee per existing pension scheme</w:t>
            </w:r>
          </w:p>
        </w:tc>
        <w:tc>
          <w:tcPr>
            <w:tcW w:w="1560" w:type="dxa"/>
          </w:tcPr>
          <w:p w14:paraId="513D3576" w14:textId="0CAA3403" w:rsidR="003330D1" w:rsidRPr="00CC2711" w:rsidRDefault="003330D1" w:rsidP="0003467F">
            <w:pPr>
              <w:rPr>
                <w:rFonts w:ascii="Century Gothic" w:eastAsia="Arial Unicode MS" w:hAnsi="Century Gothic"/>
                <w:b/>
                <w:sz w:val="18"/>
                <w:szCs w:val="18"/>
                <w:u w:color="000000"/>
              </w:rPr>
            </w:pPr>
            <w:r w:rsidRPr="00CC2711">
              <w:rPr>
                <w:rFonts w:ascii="Century Gothic" w:eastAsia="Arial Unicode MS" w:hAnsi="Century Gothic"/>
                <w:b/>
                <w:sz w:val="18"/>
                <w:szCs w:val="18"/>
                <w:u w:color="000000"/>
              </w:rPr>
              <w:t>£2</w:t>
            </w:r>
            <w:r w:rsidR="004229CD">
              <w:rPr>
                <w:rFonts w:ascii="Century Gothic" w:eastAsia="Arial Unicode MS" w:hAnsi="Century Gothic"/>
                <w:b/>
                <w:sz w:val="18"/>
                <w:szCs w:val="18"/>
                <w:u w:color="000000"/>
              </w:rPr>
              <w:t>95</w:t>
            </w:r>
          </w:p>
        </w:tc>
      </w:tr>
      <w:tr w:rsidR="003330D1" w:rsidRPr="00CC2711" w14:paraId="25E60F46" w14:textId="77777777" w:rsidTr="00164884">
        <w:trPr>
          <w:cantSplit/>
          <w:trHeight w:val="350"/>
        </w:trPr>
        <w:tc>
          <w:tcPr>
            <w:tcW w:w="7938" w:type="dxa"/>
            <w:tcMar>
              <w:top w:w="80" w:type="dxa"/>
              <w:left w:w="0" w:type="dxa"/>
              <w:bottom w:w="80" w:type="dxa"/>
              <w:right w:w="0" w:type="dxa"/>
            </w:tcMar>
            <w:vAlign w:val="center"/>
          </w:tcPr>
          <w:p w14:paraId="0159F989" w14:textId="77777777" w:rsidR="003330D1" w:rsidRPr="00CC2711" w:rsidRDefault="003330D1" w:rsidP="0003467F">
            <w:pPr>
              <w:rPr>
                <w:rFonts w:ascii="Century Gothic" w:eastAsia="Arial Unicode MS" w:hAnsi="Century Gothic"/>
                <w:sz w:val="18"/>
                <w:szCs w:val="18"/>
                <w:u w:color="000000"/>
              </w:rPr>
            </w:pPr>
            <w:r w:rsidRPr="00CC2711">
              <w:rPr>
                <w:rFonts w:ascii="Century Gothic" w:eastAsia="Arial Unicode MS" w:hAnsi="Century Gothic"/>
                <w:sz w:val="18"/>
                <w:szCs w:val="18"/>
                <w:u w:color="000000"/>
              </w:rPr>
              <w:t xml:space="preserve"> Advice on withdrawing money from your retirement funds </w:t>
            </w:r>
          </w:p>
        </w:tc>
        <w:tc>
          <w:tcPr>
            <w:tcW w:w="1560" w:type="dxa"/>
          </w:tcPr>
          <w:p w14:paraId="73C69F9C" w14:textId="77777777" w:rsidR="003330D1" w:rsidRPr="00CC2711" w:rsidRDefault="003330D1" w:rsidP="0003467F">
            <w:pPr>
              <w:rPr>
                <w:rFonts w:ascii="Century Gothic" w:eastAsia="Arial Unicode MS" w:hAnsi="Century Gothic"/>
                <w:b/>
                <w:sz w:val="18"/>
                <w:szCs w:val="18"/>
                <w:u w:color="000000"/>
              </w:rPr>
            </w:pPr>
            <w:r w:rsidRPr="00CC2711">
              <w:rPr>
                <w:rFonts w:ascii="Century Gothic" w:eastAsia="Arial Unicode MS" w:hAnsi="Century Gothic"/>
                <w:b/>
                <w:sz w:val="18"/>
                <w:szCs w:val="18"/>
                <w:u w:color="000000"/>
              </w:rPr>
              <w:t>£500</w:t>
            </w:r>
          </w:p>
        </w:tc>
      </w:tr>
      <w:tr w:rsidR="003330D1" w:rsidRPr="00CC2711" w14:paraId="3CB47A61" w14:textId="77777777" w:rsidTr="00164884">
        <w:trPr>
          <w:cantSplit/>
          <w:trHeight w:val="350"/>
        </w:trPr>
        <w:tc>
          <w:tcPr>
            <w:tcW w:w="7938" w:type="dxa"/>
            <w:tcMar>
              <w:top w:w="80" w:type="dxa"/>
              <w:left w:w="0" w:type="dxa"/>
              <w:bottom w:w="80" w:type="dxa"/>
              <w:right w:w="0" w:type="dxa"/>
            </w:tcMar>
            <w:vAlign w:val="center"/>
          </w:tcPr>
          <w:p w14:paraId="05E4A927" w14:textId="77777777" w:rsidR="003330D1" w:rsidRPr="00CC2711" w:rsidRDefault="003330D1" w:rsidP="0003467F">
            <w:pPr>
              <w:rPr>
                <w:rFonts w:ascii="Century Gothic" w:eastAsia="Arial Unicode MS" w:hAnsi="Century Gothic"/>
                <w:sz w:val="18"/>
                <w:szCs w:val="18"/>
                <w:u w:color="000000"/>
              </w:rPr>
            </w:pPr>
            <w:r w:rsidRPr="00CC2711">
              <w:rPr>
                <w:rFonts w:ascii="Century Gothic" w:eastAsia="Arial Unicode MS" w:hAnsi="Century Gothic"/>
                <w:sz w:val="18"/>
                <w:szCs w:val="18"/>
                <w:u w:color="000000"/>
              </w:rPr>
              <w:t xml:space="preserve"> Regulatory &amp; taxation updates</w:t>
            </w:r>
          </w:p>
        </w:tc>
        <w:tc>
          <w:tcPr>
            <w:tcW w:w="1560" w:type="dxa"/>
          </w:tcPr>
          <w:p w14:paraId="303A03E7" w14:textId="77777777" w:rsidR="003330D1" w:rsidRPr="00CC2711" w:rsidRDefault="003330D1" w:rsidP="0003467F">
            <w:pPr>
              <w:rPr>
                <w:rFonts w:ascii="Century Gothic" w:eastAsia="Arial Unicode MS" w:hAnsi="Century Gothic"/>
                <w:b/>
                <w:sz w:val="18"/>
                <w:szCs w:val="18"/>
                <w:u w:color="000000"/>
              </w:rPr>
            </w:pPr>
            <w:r w:rsidRPr="00CC2711">
              <w:rPr>
                <w:rFonts w:ascii="Century Gothic" w:eastAsia="Arial Unicode MS" w:hAnsi="Century Gothic"/>
                <w:b/>
                <w:sz w:val="18"/>
                <w:szCs w:val="18"/>
                <w:u w:color="000000"/>
              </w:rPr>
              <w:t>£50 p.a.</w:t>
            </w:r>
          </w:p>
        </w:tc>
      </w:tr>
      <w:tr w:rsidR="003330D1" w:rsidRPr="00CC2711" w14:paraId="560C5E50" w14:textId="77777777" w:rsidTr="00164884">
        <w:trPr>
          <w:cantSplit/>
          <w:trHeight w:val="350"/>
        </w:trPr>
        <w:tc>
          <w:tcPr>
            <w:tcW w:w="7938" w:type="dxa"/>
            <w:tcMar>
              <w:top w:w="80" w:type="dxa"/>
              <w:left w:w="0" w:type="dxa"/>
              <w:bottom w:w="80" w:type="dxa"/>
              <w:right w:w="0" w:type="dxa"/>
            </w:tcMar>
            <w:vAlign w:val="center"/>
          </w:tcPr>
          <w:p w14:paraId="72C79D52" w14:textId="77777777" w:rsidR="003330D1" w:rsidRPr="00CC2711" w:rsidRDefault="003330D1" w:rsidP="0003467F">
            <w:pPr>
              <w:rPr>
                <w:rFonts w:ascii="Century Gothic" w:eastAsia="Arial Unicode MS" w:hAnsi="Century Gothic"/>
                <w:sz w:val="18"/>
                <w:szCs w:val="18"/>
                <w:u w:color="000000"/>
              </w:rPr>
            </w:pPr>
            <w:r w:rsidRPr="00CC2711">
              <w:rPr>
                <w:rFonts w:ascii="Century Gothic" w:eastAsia="Arial Unicode MS" w:hAnsi="Century Gothic"/>
                <w:sz w:val="18"/>
                <w:szCs w:val="18"/>
                <w:u w:color="000000"/>
              </w:rPr>
              <w:t xml:space="preserve"> Annual valuation</w:t>
            </w:r>
          </w:p>
        </w:tc>
        <w:tc>
          <w:tcPr>
            <w:tcW w:w="1560" w:type="dxa"/>
          </w:tcPr>
          <w:p w14:paraId="6EEB5AEE" w14:textId="77777777" w:rsidR="003330D1" w:rsidRPr="00CC2711" w:rsidRDefault="003330D1" w:rsidP="0003467F">
            <w:pPr>
              <w:rPr>
                <w:rFonts w:ascii="Century Gothic" w:eastAsia="Arial Unicode MS" w:hAnsi="Century Gothic"/>
                <w:b/>
                <w:sz w:val="18"/>
                <w:szCs w:val="18"/>
                <w:u w:color="000000"/>
              </w:rPr>
            </w:pPr>
            <w:r w:rsidRPr="00CC2711">
              <w:rPr>
                <w:rFonts w:ascii="Century Gothic" w:eastAsia="Arial Unicode MS" w:hAnsi="Century Gothic"/>
                <w:b/>
                <w:sz w:val="18"/>
                <w:szCs w:val="18"/>
                <w:u w:color="000000"/>
              </w:rPr>
              <w:t>£150</w:t>
            </w:r>
          </w:p>
        </w:tc>
      </w:tr>
      <w:tr w:rsidR="003330D1" w:rsidRPr="00CC2711" w14:paraId="3BC32946" w14:textId="77777777" w:rsidTr="00164884">
        <w:trPr>
          <w:cantSplit/>
          <w:trHeight w:val="350"/>
        </w:trPr>
        <w:tc>
          <w:tcPr>
            <w:tcW w:w="7938" w:type="dxa"/>
            <w:tcMar>
              <w:top w:w="80" w:type="dxa"/>
              <w:left w:w="0" w:type="dxa"/>
              <w:bottom w:w="80" w:type="dxa"/>
              <w:right w:w="0" w:type="dxa"/>
            </w:tcMar>
            <w:vAlign w:val="center"/>
          </w:tcPr>
          <w:p w14:paraId="338AF4A9" w14:textId="77777777" w:rsidR="003330D1" w:rsidRPr="00CC2711" w:rsidRDefault="003330D1" w:rsidP="0003467F">
            <w:pPr>
              <w:rPr>
                <w:rFonts w:ascii="Century Gothic" w:eastAsia="Arial Unicode MS" w:hAnsi="Century Gothic"/>
                <w:sz w:val="18"/>
                <w:szCs w:val="18"/>
                <w:u w:color="000000"/>
              </w:rPr>
            </w:pPr>
            <w:r w:rsidRPr="00CC2711">
              <w:rPr>
                <w:rFonts w:ascii="Century Gothic" w:eastAsia="Arial Unicode MS" w:hAnsi="Century Gothic"/>
                <w:sz w:val="18"/>
                <w:szCs w:val="18"/>
                <w:u w:color="000000"/>
              </w:rPr>
              <w:t xml:space="preserve"> Annual risk profile questionnaire </w:t>
            </w:r>
          </w:p>
        </w:tc>
        <w:tc>
          <w:tcPr>
            <w:tcW w:w="1560" w:type="dxa"/>
          </w:tcPr>
          <w:p w14:paraId="74D8C9D0" w14:textId="77777777" w:rsidR="003330D1" w:rsidRPr="00CC2711" w:rsidRDefault="003330D1" w:rsidP="0003467F">
            <w:pPr>
              <w:rPr>
                <w:rFonts w:ascii="Century Gothic" w:eastAsia="Arial Unicode MS" w:hAnsi="Century Gothic"/>
                <w:b/>
                <w:sz w:val="18"/>
                <w:szCs w:val="18"/>
                <w:u w:color="000000"/>
              </w:rPr>
            </w:pPr>
            <w:r w:rsidRPr="00CC2711">
              <w:rPr>
                <w:rFonts w:ascii="Century Gothic" w:eastAsia="Arial Unicode MS" w:hAnsi="Century Gothic"/>
                <w:b/>
                <w:sz w:val="18"/>
                <w:szCs w:val="18"/>
                <w:u w:color="000000"/>
              </w:rPr>
              <w:t>£250</w:t>
            </w:r>
          </w:p>
        </w:tc>
      </w:tr>
      <w:tr w:rsidR="003330D1" w:rsidRPr="00CC2711" w14:paraId="0519650C" w14:textId="77777777" w:rsidTr="00164884">
        <w:trPr>
          <w:cantSplit/>
          <w:trHeight w:val="350"/>
        </w:trPr>
        <w:tc>
          <w:tcPr>
            <w:tcW w:w="7938" w:type="dxa"/>
            <w:tcMar>
              <w:top w:w="80" w:type="dxa"/>
              <w:left w:w="0" w:type="dxa"/>
              <w:bottom w:w="80" w:type="dxa"/>
              <w:right w:w="0" w:type="dxa"/>
            </w:tcMar>
            <w:vAlign w:val="center"/>
          </w:tcPr>
          <w:p w14:paraId="49132DE2" w14:textId="77777777" w:rsidR="003330D1" w:rsidRPr="00CC2711" w:rsidRDefault="003330D1" w:rsidP="0003467F">
            <w:pPr>
              <w:rPr>
                <w:rFonts w:ascii="Century Gothic" w:eastAsia="Arial Unicode MS" w:hAnsi="Century Gothic"/>
                <w:sz w:val="18"/>
                <w:szCs w:val="18"/>
                <w:u w:color="000000"/>
              </w:rPr>
            </w:pPr>
            <w:r w:rsidRPr="00CC2711">
              <w:rPr>
                <w:rFonts w:ascii="Century Gothic" w:eastAsia="Arial Unicode MS" w:hAnsi="Century Gothic"/>
                <w:sz w:val="18"/>
                <w:szCs w:val="18"/>
                <w:u w:color="000000"/>
              </w:rPr>
              <w:t xml:space="preserve"> Annual telephone advisory update</w:t>
            </w:r>
          </w:p>
        </w:tc>
        <w:tc>
          <w:tcPr>
            <w:tcW w:w="1560" w:type="dxa"/>
          </w:tcPr>
          <w:p w14:paraId="7FD40D91" w14:textId="77777777" w:rsidR="003330D1" w:rsidRPr="00CC2711" w:rsidRDefault="003330D1" w:rsidP="0003467F">
            <w:pPr>
              <w:rPr>
                <w:rFonts w:ascii="Century Gothic" w:eastAsia="Arial Unicode MS" w:hAnsi="Century Gothic"/>
                <w:b/>
                <w:sz w:val="18"/>
                <w:szCs w:val="18"/>
                <w:u w:color="000000"/>
              </w:rPr>
            </w:pPr>
            <w:r w:rsidRPr="00CC2711">
              <w:rPr>
                <w:rFonts w:ascii="Century Gothic" w:eastAsia="Arial Unicode MS" w:hAnsi="Century Gothic"/>
                <w:b/>
                <w:sz w:val="18"/>
                <w:szCs w:val="18"/>
                <w:u w:color="000000"/>
              </w:rPr>
              <w:t>£400</w:t>
            </w:r>
          </w:p>
        </w:tc>
      </w:tr>
      <w:tr w:rsidR="003330D1" w:rsidRPr="00CC2711" w14:paraId="41E7A8BD" w14:textId="77777777" w:rsidTr="00164884">
        <w:trPr>
          <w:cantSplit/>
          <w:trHeight w:val="350"/>
        </w:trPr>
        <w:tc>
          <w:tcPr>
            <w:tcW w:w="7938" w:type="dxa"/>
            <w:tcMar>
              <w:top w:w="80" w:type="dxa"/>
              <w:left w:w="0" w:type="dxa"/>
              <w:bottom w:w="80" w:type="dxa"/>
              <w:right w:w="0" w:type="dxa"/>
            </w:tcMar>
            <w:vAlign w:val="center"/>
          </w:tcPr>
          <w:p w14:paraId="3A462A18" w14:textId="77777777" w:rsidR="003330D1" w:rsidRPr="00CC2711" w:rsidRDefault="003330D1" w:rsidP="0003467F">
            <w:pPr>
              <w:rPr>
                <w:rFonts w:ascii="Century Gothic" w:eastAsia="Arial Unicode MS" w:hAnsi="Century Gothic"/>
                <w:sz w:val="18"/>
                <w:szCs w:val="18"/>
                <w:u w:color="000000"/>
              </w:rPr>
            </w:pPr>
            <w:r w:rsidRPr="00CC2711">
              <w:rPr>
                <w:rFonts w:ascii="Century Gothic" w:eastAsia="Arial Unicode MS" w:hAnsi="Century Gothic"/>
                <w:sz w:val="18"/>
                <w:szCs w:val="18"/>
                <w:u w:color="000000"/>
              </w:rPr>
              <w:t xml:space="preserve"> Additional reviews per session</w:t>
            </w:r>
          </w:p>
        </w:tc>
        <w:tc>
          <w:tcPr>
            <w:tcW w:w="1560" w:type="dxa"/>
          </w:tcPr>
          <w:p w14:paraId="30C99F0E" w14:textId="77777777" w:rsidR="003330D1" w:rsidRPr="00CC2711" w:rsidRDefault="003330D1" w:rsidP="0003467F">
            <w:pPr>
              <w:rPr>
                <w:rFonts w:ascii="Century Gothic" w:eastAsia="Arial Unicode MS" w:hAnsi="Century Gothic"/>
                <w:b/>
                <w:sz w:val="18"/>
                <w:szCs w:val="18"/>
                <w:u w:color="000000"/>
              </w:rPr>
            </w:pPr>
            <w:r w:rsidRPr="00CC2711">
              <w:rPr>
                <w:rFonts w:ascii="Century Gothic" w:eastAsia="Arial Unicode MS" w:hAnsi="Century Gothic"/>
                <w:b/>
                <w:sz w:val="18"/>
                <w:szCs w:val="18"/>
                <w:u w:color="000000"/>
              </w:rPr>
              <w:t xml:space="preserve">£400 </w:t>
            </w:r>
          </w:p>
        </w:tc>
      </w:tr>
      <w:tr w:rsidR="003330D1" w:rsidRPr="00CC2711" w14:paraId="6FB4CD9D" w14:textId="77777777" w:rsidTr="00164884">
        <w:trPr>
          <w:cantSplit/>
          <w:trHeight w:val="350"/>
        </w:trPr>
        <w:tc>
          <w:tcPr>
            <w:tcW w:w="7938" w:type="dxa"/>
            <w:tcMar>
              <w:top w:w="80" w:type="dxa"/>
              <w:left w:w="0" w:type="dxa"/>
              <w:bottom w:w="80" w:type="dxa"/>
              <w:right w:w="0" w:type="dxa"/>
            </w:tcMar>
            <w:vAlign w:val="center"/>
          </w:tcPr>
          <w:p w14:paraId="6F412D87" w14:textId="77777777" w:rsidR="003330D1" w:rsidRPr="00CC2711" w:rsidRDefault="003330D1" w:rsidP="0003467F">
            <w:pPr>
              <w:rPr>
                <w:rFonts w:ascii="Century Gothic" w:eastAsia="Arial Unicode MS" w:hAnsi="Century Gothic"/>
                <w:sz w:val="18"/>
                <w:szCs w:val="18"/>
                <w:u w:color="000000"/>
                <w:lang w:val="it-IT"/>
              </w:rPr>
            </w:pPr>
            <w:r w:rsidRPr="00CC2711">
              <w:rPr>
                <w:rFonts w:ascii="Century Gothic" w:eastAsia="Arial Unicode MS" w:hAnsi="Century Gothic"/>
                <w:sz w:val="18"/>
                <w:szCs w:val="18"/>
                <w:u w:color="000000"/>
                <w:lang w:val="it-IT"/>
              </w:rPr>
              <w:t xml:space="preserve"> E-Newsletter facility via email</w:t>
            </w:r>
          </w:p>
        </w:tc>
        <w:tc>
          <w:tcPr>
            <w:tcW w:w="1560" w:type="dxa"/>
          </w:tcPr>
          <w:p w14:paraId="327C9033" w14:textId="77777777" w:rsidR="003330D1" w:rsidRPr="00CC2711" w:rsidRDefault="003330D1" w:rsidP="0003467F">
            <w:pPr>
              <w:rPr>
                <w:rFonts w:ascii="Century Gothic" w:eastAsia="Arial Unicode MS" w:hAnsi="Century Gothic"/>
                <w:b/>
                <w:sz w:val="18"/>
                <w:szCs w:val="18"/>
                <w:u w:color="000000"/>
              </w:rPr>
            </w:pPr>
            <w:r w:rsidRPr="00CC2711">
              <w:rPr>
                <w:rFonts w:ascii="Century Gothic" w:eastAsia="Arial Unicode MS" w:hAnsi="Century Gothic"/>
                <w:b/>
                <w:sz w:val="18"/>
                <w:szCs w:val="18"/>
                <w:u w:color="000000"/>
              </w:rPr>
              <w:t>Free</w:t>
            </w:r>
          </w:p>
        </w:tc>
      </w:tr>
      <w:tr w:rsidR="003330D1" w:rsidRPr="00CC2711" w14:paraId="246D9169" w14:textId="77777777" w:rsidTr="00164884">
        <w:trPr>
          <w:cantSplit/>
          <w:trHeight w:val="350"/>
        </w:trPr>
        <w:tc>
          <w:tcPr>
            <w:tcW w:w="7938" w:type="dxa"/>
            <w:tcMar>
              <w:top w:w="80" w:type="dxa"/>
              <w:left w:w="0" w:type="dxa"/>
              <w:bottom w:w="80" w:type="dxa"/>
              <w:right w:w="0" w:type="dxa"/>
            </w:tcMar>
            <w:vAlign w:val="center"/>
          </w:tcPr>
          <w:p w14:paraId="0640FF1E" w14:textId="77777777" w:rsidR="003330D1" w:rsidRPr="00CC2711" w:rsidRDefault="003330D1" w:rsidP="0003467F">
            <w:pPr>
              <w:rPr>
                <w:rFonts w:ascii="Century Gothic" w:eastAsia="Arial Unicode MS" w:hAnsi="Century Gothic"/>
                <w:sz w:val="18"/>
                <w:szCs w:val="18"/>
                <w:u w:color="000000"/>
              </w:rPr>
            </w:pPr>
            <w:r w:rsidRPr="00CC2711">
              <w:rPr>
                <w:rFonts w:ascii="Century Gothic" w:eastAsia="Arial Unicode MS" w:hAnsi="Century Gothic"/>
                <w:sz w:val="18"/>
                <w:szCs w:val="18"/>
                <w:u w:color="000000"/>
              </w:rPr>
              <w:t xml:space="preserve"> Hourly rate </w:t>
            </w:r>
          </w:p>
        </w:tc>
        <w:tc>
          <w:tcPr>
            <w:tcW w:w="1560" w:type="dxa"/>
          </w:tcPr>
          <w:p w14:paraId="0687D7C7" w14:textId="77777777" w:rsidR="003330D1" w:rsidRPr="00CC2711" w:rsidRDefault="003330D1" w:rsidP="0003467F">
            <w:pPr>
              <w:rPr>
                <w:rFonts w:ascii="Century Gothic" w:eastAsia="Arial Unicode MS" w:hAnsi="Century Gothic"/>
                <w:b/>
                <w:sz w:val="18"/>
                <w:szCs w:val="18"/>
                <w:u w:color="000000"/>
              </w:rPr>
            </w:pPr>
            <w:r w:rsidRPr="00CC2711">
              <w:rPr>
                <w:rFonts w:ascii="Century Gothic" w:eastAsia="Arial Unicode MS" w:hAnsi="Century Gothic"/>
                <w:b/>
                <w:sz w:val="18"/>
                <w:szCs w:val="18"/>
                <w:u w:color="000000"/>
              </w:rPr>
              <w:t xml:space="preserve">£150 </w:t>
            </w:r>
          </w:p>
        </w:tc>
      </w:tr>
      <w:tr w:rsidR="003330D1" w:rsidRPr="00CC2711" w14:paraId="4C2E0DE1" w14:textId="77777777" w:rsidTr="00164884">
        <w:trPr>
          <w:cantSplit/>
          <w:trHeight w:val="350"/>
        </w:trPr>
        <w:tc>
          <w:tcPr>
            <w:tcW w:w="7938" w:type="dxa"/>
            <w:tcMar>
              <w:top w:w="80" w:type="dxa"/>
              <w:left w:w="0" w:type="dxa"/>
              <w:bottom w:w="80" w:type="dxa"/>
              <w:right w:w="0" w:type="dxa"/>
            </w:tcMar>
            <w:vAlign w:val="center"/>
          </w:tcPr>
          <w:p w14:paraId="1A7031C1" w14:textId="77777777" w:rsidR="003330D1" w:rsidRPr="00CC2711" w:rsidRDefault="003330D1" w:rsidP="0003467F">
            <w:pPr>
              <w:rPr>
                <w:rFonts w:ascii="Century Gothic" w:eastAsia="Arial Unicode MS" w:hAnsi="Century Gothic"/>
                <w:sz w:val="18"/>
                <w:szCs w:val="18"/>
                <w:u w:color="000000"/>
              </w:rPr>
            </w:pPr>
            <w:r w:rsidRPr="00CC2711">
              <w:rPr>
                <w:rFonts w:ascii="Century Gothic" w:eastAsia="Arial Unicode MS" w:hAnsi="Century Gothic"/>
                <w:sz w:val="18"/>
                <w:szCs w:val="18"/>
                <w:u w:color="000000"/>
              </w:rPr>
              <w:t xml:space="preserve"> Consultancy Fee </w:t>
            </w:r>
          </w:p>
        </w:tc>
        <w:tc>
          <w:tcPr>
            <w:tcW w:w="1560" w:type="dxa"/>
          </w:tcPr>
          <w:p w14:paraId="5D316CF6" w14:textId="77777777" w:rsidR="003330D1" w:rsidRPr="00CC2711" w:rsidRDefault="003330D1" w:rsidP="0003467F">
            <w:pPr>
              <w:rPr>
                <w:rFonts w:ascii="Century Gothic" w:eastAsia="Arial Unicode MS" w:hAnsi="Century Gothic"/>
                <w:b/>
                <w:sz w:val="18"/>
                <w:szCs w:val="18"/>
                <w:u w:color="000000"/>
              </w:rPr>
            </w:pPr>
            <w:r w:rsidRPr="00CC2711">
              <w:rPr>
                <w:rFonts w:ascii="Century Gothic" w:eastAsia="Arial Unicode MS" w:hAnsi="Century Gothic"/>
                <w:b/>
                <w:sz w:val="18"/>
                <w:szCs w:val="18"/>
                <w:u w:color="000000"/>
              </w:rPr>
              <w:t>£495</w:t>
            </w:r>
          </w:p>
        </w:tc>
      </w:tr>
      <w:tr w:rsidR="003330D1" w:rsidRPr="00CC2711" w14:paraId="3FE2EBD2" w14:textId="77777777" w:rsidTr="00164884">
        <w:trPr>
          <w:cantSplit/>
          <w:trHeight w:val="350"/>
        </w:trPr>
        <w:tc>
          <w:tcPr>
            <w:tcW w:w="7938" w:type="dxa"/>
            <w:tcMar>
              <w:top w:w="80" w:type="dxa"/>
              <w:left w:w="0" w:type="dxa"/>
              <w:bottom w:w="80" w:type="dxa"/>
              <w:right w:w="0" w:type="dxa"/>
            </w:tcMar>
            <w:vAlign w:val="center"/>
          </w:tcPr>
          <w:p w14:paraId="1DD75BE3" w14:textId="77777777" w:rsidR="003330D1" w:rsidRPr="00CC2711" w:rsidRDefault="003330D1" w:rsidP="0003467F">
            <w:pPr>
              <w:rPr>
                <w:rFonts w:ascii="Century Gothic" w:eastAsia="Arial Unicode MS" w:hAnsi="Century Gothic"/>
                <w:sz w:val="18"/>
                <w:szCs w:val="18"/>
                <w:u w:color="000000"/>
              </w:rPr>
            </w:pPr>
            <w:r w:rsidRPr="00CC2711">
              <w:rPr>
                <w:rFonts w:ascii="Century Gothic" w:eastAsia="Arial Unicode MS" w:hAnsi="Century Gothic"/>
                <w:sz w:val="18"/>
                <w:szCs w:val="18"/>
                <w:u w:color="000000"/>
              </w:rPr>
              <w:t xml:space="preserve"> Estate Administration Services</w:t>
            </w:r>
          </w:p>
        </w:tc>
        <w:tc>
          <w:tcPr>
            <w:tcW w:w="1560" w:type="dxa"/>
          </w:tcPr>
          <w:p w14:paraId="69ECE390" w14:textId="77777777" w:rsidR="003330D1" w:rsidRPr="00CC2711" w:rsidRDefault="003330D1" w:rsidP="0003467F">
            <w:pPr>
              <w:rPr>
                <w:rFonts w:ascii="Century Gothic" w:eastAsia="Arial Unicode MS" w:hAnsi="Century Gothic"/>
                <w:b/>
                <w:sz w:val="18"/>
                <w:szCs w:val="18"/>
                <w:u w:color="000000"/>
              </w:rPr>
            </w:pPr>
            <w:r w:rsidRPr="00CC2711">
              <w:rPr>
                <w:rFonts w:ascii="Century Gothic" w:eastAsia="Arial Unicode MS" w:hAnsi="Century Gothic"/>
                <w:b/>
                <w:sz w:val="18"/>
                <w:szCs w:val="18"/>
                <w:u w:color="000000"/>
              </w:rPr>
              <w:t>£495</w:t>
            </w:r>
          </w:p>
        </w:tc>
      </w:tr>
      <w:tr w:rsidR="003330D1" w:rsidRPr="00CC2711" w14:paraId="314F0F8F" w14:textId="77777777" w:rsidTr="00164884">
        <w:trPr>
          <w:cantSplit/>
          <w:trHeight w:val="350"/>
        </w:trPr>
        <w:tc>
          <w:tcPr>
            <w:tcW w:w="7938" w:type="dxa"/>
            <w:tcMar>
              <w:top w:w="80" w:type="dxa"/>
              <w:left w:w="0" w:type="dxa"/>
              <w:bottom w:w="80" w:type="dxa"/>
              <w:right w:w="0" w:type="dxa"/>
            </w:tcMar>
            <w:vAlign w:val="center"/>
          </w:tcPr>
          <w:p w14:paraId="7F7DAF54" w14:textId="77777777" w:rsidR="003330D1" w:rsidRPr="00CC2711" w:rsidRDefault="003330D1" w:rsidP="0003467F">
            <w:pPr>
              <w:rPr>
                <w:rFonts w:ascii="Century Gothic" w:eastAsia="Arial Unicode MS" w:hAnsi="Century Gothic"/>
                <w:sz w:val="18"/>
                <w:szCs w:val="18"/>
                <w:u w:color="000000"/>
              </w:rPr>
            </w:pPr>
            <w:r w:rsidRPr="00CC2711">
              <w:rPr>
                <w:rFonts w:ascii="Century Gothic" w:eastAsia="Arial Unicode MS" w:hAnsi="Century Gothic"/>
                <w:sz w:val="18"/>
                <w:szCs w:val="18"/>
                <w:u w:color="000000"/>
              </w:rPr>
              <w:t xml:space="preserve"> Implementation fees</w:t>
            </w:r>
          </w:p>
        </w:tc>
        <w:tc>
          <w:tcPr>
            <w:tcW w:w="1560" w:type="dxa"/>
          </w:tcPr>
          <w:p w14:paraId="13BC13C4" w14:textId="2CC2916F" w:rsidR="003330D1" w:rsidRPr="00CC2711" w:rsidRDefault="003330D1" w:rsidP="0003467F">
            <w:pPr>
              <w:rPr>
                <w:rFonts w:ascii="Century Gothic" w:eastAsia="Arial Unicode MS" w:hAnsi="Century Gothic"/>
                <w:b/>
                <w:color w:val="FFFFFF" w:themeColor="background1"/>
                <w:sz w:val="18"/>
                <w:szCs w:val="18"/>
                <w:u w:color="000000"/>
                <w14:textFill>
                  <w14:gradFill>
                    <w14:gsLst>
                      <w14:gs w14:pos="0">
                        <w14:schemeClr w14:val="bg1">
                          <w14:shade w14:val="30000"/>
                          <w14:satMod w14:val="115000"/>
                        </w14:schemeClr>
                      </w14:gs>
                      <w14:gs w14:pos="50000">
                        <w14:schemeClr w14:val="bg1">
                          <w14:shade w14:val="67500"/>
                          <w14:satMod w14:val="115000"/>
                        </w14:schemeClr>
                      </w14:gs>
                      <w14:gs w14:pos="100000">
                        <w14:schemeClr w14:val="bg1">
                          <w14:shade w14:val="100000"/>
                          <w14:satMod w14:val="115000"/>
                        </w14:schemeClr>
                      </w14:gs>
                    </w14:gsLst>
                    <w14:lin w14:ang="16200000" w14:scaled="0"/>
                  </w14:gradFill>
                </w14:textFill>
              </w:rPr>
            </w:pPr>
            <w:r w:rsidRPr="00CC2711">
              <w:rPr>
                <w:rFonts w:ascii="Century Gothic" w:eastAsia="Arial Unicode MS" w:hAnsi="Century Gothic"/>
                <w:b/>
                <w:sz w:val="18"/>
                <w:szCs w:val="18"/>
                <w:u w:color="000000"/>
              </w:rPr>
              <w:t>Stand</w:t>
            </w:r>
            <w:r w:rsidR="009B02CB">
              <w:rPr>
                <w:rFonts w:ascii="Century Gothic" w:eastAsia="Arial Unicode MS" w:hAnsi="Century Gothic"/>
                <w:b/>
                <w:sz w:val="18"/>
                <w:szCs w:val="18"/>
                <w:u w:color="000000"/>
              </w:rPr>
              <w:t>ard Fees</w:t>
            </w:r>
          </w:p>
        </w:tc>
      </w:tr>
    </w:tbl>
    <w:p w14:paraId="4114B41F" w14:textId="77777777" w:rsidR="003330D1" w:rsidRPr="00CC2711" w:rsidRDefault="003330D1" w:rsidP="003330D1">
      <w:pPr>
        <w:rPr>
          <w:rFonts w:ascii="Century Gothic" w:hAnsi="Century Gothic" w:cs="Calibri"/>
          <w:sz w:val="18"/>
          <w:szCs w:val="18"/>
        </w:rPr>
      </w:pPr>
    </w:p>
    <w:p w14:paraId="5A8D229E" w14:textId="77777777" w:rsidR="003F6D56" w:rsidRPr="00F453A9" w:rsidRDefault="003F6D56" w:rsidP="003F6D56">
      <w:pPr>
        <w:rPr>
          <w:rFonts w:ascii="Century Gothic" w:hAnsi="Century Gothic" w:cs="Open Sans Light"/>
          <w:bCs/>
          <w:iCs/>
          <w:sz w:val="18"/>
          <w:szCs w:val="18"/>
        </w:rPr>
      </w:pPr>
    </w:p>
    <w:p w14:paraId="7375FB9C" w14:textId="77777777" w:rsidR="003F6D56" w:rsidRPr="00F453A9" w:rsidRDefault="003F6D56" w:rsidP="003F6D56">
      <w:pPr>
        <w:rPr>
          <w:rFonts w:ascii="Century Gothic" w:hAnsi="Century Gothic" w:cs="Open Sans Light"/>
          <w:bCs/>
          <w:iCs/>
          <w:sz w:val="18"/>
          <w:szCs w:val="18"/>
        </w:rPr>
      </w:pPr>
      <w:r w:rsidRPr="00F453A9">
        <w:rPr>
          <w:rFonts w:ascii="Century Gothic" w:hAnsi="Century Gothic"/>
          <w:noProof/>
          <w:sz w:val="28"/>
          <w:szCs w:val="28"/>
        </w:rPr>
        <mc:AlternateContent>
          <mc:Choice Requires="wps">
            <w:drawing>
              <wp:anchor distT="0" distB="0" distL="114300" distR="114300" simplePos="0" relativeHeight="251658243" behindDoc="0" locked="0" layoutInCell="1" allowOverlap="1" wp14:anchorId="311B8B18" wp14:editId="08B3F216">
                <wp:simplePos x="0" y="0"/>
                <wp:positionH relativeFrom="margin">
                  <wp:posOffset>0</wp:posOffset>
                </wp:positionH>
                <wp:positionV relativeFrom="paragraph">
                  <wp:posOffset>18415</wp:posOffset>
                </wp:positionV>
                <wp:extent cx="6156000" cy="0"/>
                <wp:effectExtent l="0" t="19050" r="16510" b="19050"/>
                <wp:wrapNone/>
                <wp:docPr id="8916335" name="Straight Connector 8916335"/>
                <wp:cNvGraphicFramePr/>
                <a:graphic xmlns:a="http://schemas.openxmlformats.org/drawingml/2006/main">
                  <a:graphicData uri="http://schemas.microsoft.com/office/word/2010/wordprocessingShape">
                    <wps:wsp>
                      <wps:cNvCnPr/>
                      <wps:spPr>
                        <a:xfrm>
                          <a:off x="0" y="0"/>
                          <a:ext cx="6156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47DEA3" id="Straight Connector 8916335" o:spid="_x0000_s1026"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45pt" to="484.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" strokecolor="#1f497d [3215]" strokeweight="3pt">
                <w10:wrap anchorx="margin"/>
              </v:line>
            </w:pict>
          </mc:Fallback>
        </mc:AlternateContent>
      </w:r>
    </w:p>
    <w:p w14:paraId="1CA328F0" w14:textId="6A13A133" w:rsidR="003F6D56" w:rsidRPr="00F453A9" w:rsidRDefault="003F6D56" w:rsidP="003F6D56">
      <w:pPr>
        <w:rPr>
          <w:rFonts w:ascii="Century Gothic" w:hAnsi="Century Gothic" w:cs="Open Sans Light"/>
          <w:b/>
          <w:bCs/>
        </w:rPr>
      </w:pPr>
      <w:r w:rsidRPr="00F453A9">
        <w:rPr>
          <w:rFonts w:ascii="Century Gothic" w:hAnsi="Century Gothic" w:cs="Open Sans Light"/>
          <w:b/>
          <w:bCs/>
        </w:rPr>
        <w:t xml:space="preserve">Mortgages </w:t>
      </w:r>
    </w:p>
    <w:p w14:paraId="3A664D57" w14:textId="77777777" w:rsidR="003F6D56" w:rsidRPr="00F453A9" w:rsidRDefault="003F6D56" w:rsidP="003F6D56">
      <w:pPr>
        <w:rPr>
          <w:rFonts w:ascii="Century Gothic" w:hAnsi="Century Gothic"/>
          <w:b/>
          <w:bCs/>
          <w:szCs w:val="20"/>
        </w:rPr>
      </w:pPr>
    </w:p>
    <w:p w14:paraId="01B1C765" w14:textId="65D823CC" w:rsidR="003F6D56" w:rsidRPr="00F453A9" w:rsidRDefault="003F6D56" w:rsidP="003F6D56">
      <w:pPr>
        <w:rPr>
          <w:rFonts w:ascii="Century Gothic" w:hAnsi="Century Gothic" w:cs="Open Sans Light"/>
          <w:sz w:val="18"/>
          <w:szCs w:val="18"/>
        </w:rPr>
      </w:pPr>
      <w:r w:rsidRPr="00F453A9">
        <w:rPr>
          <w:rFonts w:ascii="Century Gothic" w:hAnsi="Century Gothic" w:cs="Open Sans Light"/>
          <w:sz w:val="18"/>
          <w:szCs w:val="18"/>
        </w:rPr>
        <w:t>We offer a mortgage advice service on residential</w:t>
      </w:r>
      <w:r w:rsidR="00B26D1C">
        <w:rPr>
          <w:rFonts w:ascii="Century Gothic" w:hAnsi="Century Gothic" w:cs="Open Sans Light"/>
          <w:sz w:val="18"/>
          <w:szCs w:val="18"/>
        </w:rPr>
        <w:t>,</w:t>
      </w:r>
      <w:r w:rsidRPr="00F453A9">
        <w:rPr>
          <w:rFonts w:ascii="Century Gothic" w:hAnsi="Century Gothic" w:cs="Open Sans Light"/>
          <w:sz w:val="18"/>
          <w:szCs w:val="18"/>
        </w:rPr>
        <w:t xml:space="preserve"> buy to let </w:t>
      </w:r>
      <w:r w:rsidR="00B26D1C">
        <w:rPr>
          <w:rFonts w:ascii="Century Gothic" w:hAnsi="Century Gothic" w:cs="Open Sans Light"/>
          <w:sz w:val="18"/>
          <w:szCs w:val="18"/>
        </w:rPr>
        <w:t xml:space="preserve">and lifetime </w:t>
      </w:r>
      <w:r w:rsidRPr="00F453A9">
        <w:rPr>
          <w:rFonts w:ascii="Century Gothic" w:hAnsi="Century Gothic" w:cs="Open Sans Light"/>
          <w:sz w:val="18"/>
          <w:szCs w:val="18"/>
        </w:rPr>
        <w:t xml:space="preserve">mortgages. As part of this service, we will make a recommendation once we have assessed your needs. </w:t>
      </w:r>
    </w:p>
    <w:p w14:paraId="1C3B176E" w14:textId="77777777" w:rsidR="003F6D56" w:rsidRPr="00F453A9" w:rsidRDefault="003F6D56" w:rsidP="003F6D56">
      <w:pPr>
        <w:rPr>
          <w:rFonts w:ascii="Century Gothic" w:hAnsi="Century Gothic" w:cs="Open Sans Light"/>
          <w:sz w:val="18"/>
          <w:szCs w:val="18"/>
        </w:rPr>
      </w:pPr>
    </w:p>
    <w:p w14:paraId="46613761" w14:textId="440E7533" w:rsidR="003F6D56" w:rsidRDefault="003F6D56" w:rsidP="003F6D56">
      <w:pPr>
        <w:rPr>
          <w:rFonts w:ascii="Century Gothic" w:hAnsi="Century Gothic" w:cs="Open Sans Light"/>
          <w:sz w:val="18"/>
          <w:szCs w:val="18"/>
        </w:rPr>
      </w:pPr>
      <w:r w:rsidRPr="00F453A9">
        <w:rPr>
          <w:rFonts w:ascii="Century Gothic" w:hAnsi="Century Gothic" w:cs="Open Sans Light"/>
          <w:sz w:val="18"/>
          <w:szCs w:val="18"/>
        </w:rPr>
        <w:t xml:space="preserve">We recommend products from a range of lenders that is representative of the </w:t>
      </w:r>
      <w:r w:rsidR="001A564A" w:rsidRPr="00F453A9">
        <w:rPr>
          <w:rFonts w:ascii="Century Gothic" w:hAnsi="Century Gothic" w:cs="Open Sans Light"/>
          <w:sz w:val="18"/>
          <w:szCs w:val="18"/>
        </w:rPr>
        <w:t>whole</w:t>
      </w:r>
      <w:r w:rsidR="008C53A9">
        <w:rPr>
          <w:rFonts w:ascii="Century Gothic" w:hAnsi="Century Gothic" w:cs="Open Sans Light"/>
          <w:sz w:val="18"/>
          <w:szCs w:val="18"/>
        </w:rPr>
        <w:t>-</w:t>
      </w:r>
      <w:r w:rsidR="001A564A">
        <w:rPr>
          <w:rFonts w:ascii="Century Gothic" w:hAnsi="Century Gothic" w:cs="Open Sans Light"/>
          <w:sz w:val="18"/>
          <w:szCs w:val="18"/>
        </w:rPr>
        <w:t>of</w:t>
      </w:r>
      <w:r w:rsidR="008C53A9">
        <w:rPr>
          <w:rFonts w:ascii="Century Gothic" w:hAnsi="Century Gothic" w:cs="Open Sans Light"/>
          <w:sz w:val="18"/>
          <w:szCs w:val="18"/>
        </w:rPr>
        <w:t>-</w:t>
      </w:r>
      <w:r w:rsidRPr="00F453A9">
        <w:rPr>
          <w:rFonts w:ascii="Century Gothic" w:hAnsi="Century Gothic" w:cs="Open Sans Light"/>
          <w:sz w:val="18"/>
          <w:szCs w:val="18"/>
        </w:rPr>
        <w:t>market, however we do not consider mortgage products that you can only obtain by going directly to a lender.</w:t>
      </w:r>
    </w:p>
    <w:p w14:paraId="45273036" w14:textId="77777777" w:rsidR="00082E4A" w:rsidRDefault="00082E4A" w:rsidP="00082E4A">
      <w:pPr>
        <w:rPr>
          <w:rFonts w:ascii="Open Sans Light" w:hAnsi="Open Sans Light" w:cs="Open Sans Light"/>
          <w:sz w:val="18"/>
          <w:szCs w:val="18"/>
        </w:rPr>
      </w:pPr>
    </w:p>
    <w:p w14:paraId="0C32BD4C" w14:textId="7A189441" w:rsidR="00082E4A" w:rsidRPr="00082E4A" w:rsidRDefault="00082E4A" w:rsidP="00082E4A">
      <w:pPr>
        <w:rPr>
          <w:rFonts w:ascii="Century Gothic" w:hAnsi="Century Gothic" w:cs="Open Sans Light"/>
          <w:sz w:val="18"/>
          <w:szCs w:val="18"/>
        </w:rPr>
      </w:pPr>
      <w:r w:rsidRPr="00082E4A">
        <w:rPr>
          <w:rFonts w:ascii="Century Gothic" w:hAnsi="Century Gothic" w:cs="Open Sans Light"/>
          <w:sz w:val="18"/>
          <w:szCs w:val="18"/>
        </w:rPr>
        <w:t xml:space="preserve">We do not provide advice on second-charge mortgages, commercial mortgages, or bridging loans. If you need advice on these types of loan, we can refer you to a specialist broker. </w:t>
      </w:r>
    </w:p>
    <w:p w14:paraId="63492754" w14:textId="77777777" w:rsidR="00082E4A" w:rsidRDefault="00082E4A" w:rsidP="003F6D56">
      <w:pPr>
        <w:rPr>
          <w:rFonts w:ascii="Century Gothic" w:hAnsi="Century Gothic" w:cs="Open Sans Light"/>
          <w:sz w:val="18"/>
          <w:szCs w:val="18"/>
        </w:rPr>
      </w:pPr>
    </w:p>
    <w:p w14:paraId="49B6FDC8" w14:textId="77777777" w:rsidR="00082E4A" w:rsidRPr="00F453A9" w:rsidRDefault="00082E4A" w:rsidP="003F6D56">
      <w:pPr>
        <w:rPr>
          <w:rFonts w:ascii="Century Gothic" w:hAnsi="Century Gothic" w:cs="Open Sans Light"/>
          <w:sz w:val="18"/>
          <w:szCs w:val="18"/>
        </w:rPr>
      </w:pPr>
    </w:p>
    <w:tbl>
      <w:tblPr>
        <w:tblStyle w:val="TableGrid"/>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0F7B3F"/>
          <w:insideV w:val="single" w:sz="4" w:space="0" w:color="0F7B3F"/>
        </w:tblBorders>
        <w:tblCellMar>
          <w:top w:w="113" w:type="dxa"/>
          <w:bottom w:w="113" w:type="dxa"/>
        </w:tblCellMar>
        <w:tblLook w:val="04A0" w:firstRow="1" w:lastRow="0" w:firstColumn="1" w:lastColumn="0" w:noHBand="0" w:noVBand="1"/>
      </w:tblPr>
      <w:tblGrid>
        <w:gridCol w:w="906"/>
        <w:gridCol w:w="8467"/>
      </w:tblGrid>
      <w:tr w:rsidR="003F6D56" w:rsidRPr="00F453A9" w14:paraId="37911F0F" w14:textId="77777777" w:rsidTr="00266C99">
        <w:tc>
          <w:tcPr>
            <w:tcW w:w="906" w:type="dxa"/>
            <w:tcBorders>
              <w:right w:val="single" w:sz="4" w:space="0" w:color="FFF8EF"/>
            </w:tcBorders>
            <w:shd w:val="clear" w:color="auto" w:fill="FFF8EF"/>
            <w:vAlign w:val="center"/>
          </w:tcPr>
          <w:p w14:paraId="582A80BE" w14:textId="77777777" w:rsidR="003F6D56" w:rsidRPr="00F453A9" w:rsidRDefault="003F6D56" w:rsidP="0003467F">
            <w:pPr>
              <w:jc w:val="center"/>
              <w:rPr>
                <w:rFonts w:ascii="Century Gothic" w:hAnsi="Century Gothic" w:cs="Arial"/>
              </w:rPr>
            </w:pPr>
            <w:r w:rsidRPr="00F453A9">
              <w:rPr>
                <w:rFonts w:ascii="Century Gothic" w:hAnsi="Century Gothic" w:cs="Arial"/>
                <w:noProof/>
              </w:rPr>
              <w:drawing>
                <wp:inline distT="0" distB="0" distL="0" distR="0" wp14:anchorId="0A556EE4" wp14:editId="0A8BD009">
                  <wp:extent cx="409575" cy="409575"/>
                  <wp:effectExtent l="0" t="0" r="9525" b="9525"/>
                  <wp:docPr id="17287899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68142" name="Graphic 1861068142"/>
                          <pic:cNvPicPr/>
                        </pic:nvPicPr>
                        <pic:blipFill>
                          <a:blip r:embed="rId8">
                            <a:extLst>
                              <a:ext uri="{96DAC541-7B7A-43D3-8B79-37D633B846F1}">
                                <asvg:svgBlip xmlns:asvg="http://schemas.microsoft.com/office/drawing/2016/SVG/main" r:embed="rId9"/>
                              </a:ext>
                            </a:extLst>
                          </a:blip>
                          <a:stretch>
                            <a:fillRect/>
                          </a:stretch>
                        </pic:blipFill>
                        <pic:spPr>
                          <a:xfrm>
                            <a:off x="0" y="0"/>
                            <a:ext cx="412101" cy="412101"/>
                          </a:xfrm>
                          <a:prstGeom prst="rect">
                            <a:avLst/>
                          </a:prstGeom>
                        </pic:spPr>
                      </pic:pic>
                    </a:graphicData>
                  </a:graphic>
                </wp:inline>
              </w:drawing>
            </w:r>
          </w:p>
        </w:tc>
        <w:tc>
          <w:tcPr>
            <w:tcW w:w="8467" w:type="dxa"/>
            <w:tcBorders>
              <w:left w:val="single" w:sz="4" w:space="0" w:color="FFF8EF"/>
            </w:tcBorders>
            <w:shd w:val="clear" w:color="auto" w:fill="FFF8EF"/>
            <w:vAlign w:val="center"/>
          </w:tcPr>
          <w:p w14:paraId="7199E272" w14:textId="77777777" w:rsidR="003F6D56" w:rsidRPr="00F453A9" w:rsidRDefault="003F6D56" w:rsidP="0003467F">
            <w:pPr>
              <w:rPr>
                <w:rFonts w:ascii="Century Gothic" w:hAnsi="Century Gothic" w:cs="Open Sans Light"/>
                <w:bCs/>
                <w:sz w:val="18"/>
                <w:szCs w:val="18"/>
              </w:rPr>
            </w:pPr>
            <w:r w:rsidRPr="00F453A9">
              <w:rPr>
                <w:rFonts w:ascii="Century Gothic" w:hAnsi="Century Gothic" w:cs="Open Sans Light"/>
                <w:sz w:val="18"/>
                <w:szCs w:val="18"/>
              </w:rPr>
              <w:t>Full details of any commission we receive will be set out in the mortgage illustration document (issued by the lender) before you take out a mortgage. This illustration will also tell you about any other fees relating to the mortgage.</w:t>
            </w:r>
          </w:p>
        </w:tc>
      </w:tr>
    </w:tbl>
    <w:p w14:paraId="1118EBD6" w14:textId="77777777" w:rsidR="003F6D56" w:rsidRPr="00F453A9" w:rsidRDefault="003F6D56" w:rsidP="003F6D56">
      <w:pPr>
        <w:rPr>
          <w:rFonts w:ascii="Century Gothic" w:hAnsi="Century Gothic" w:cs="Open Sans Light"/>
          <w:sz w:val="18"/>
          <w:szCs w:val="18"/>
        </w:rPr>
      </w:pPr>
    </w:p>
    <w:p w14:paraId="4DADEAAC" w14:textId="2346C10F" w:rsidR="00FA3A9D" w:rsidRPr="00EA796E" w:rsidRDefault="00FA3A9D" w:rsidP="00FA3A9D">
      <w:pPr>
        <w:rPr>
          <w:rFonts w:ascii="Century Gothic" w:hAnsi="Century Gothic" w:cs="Open Sans Light"/>
          <w:sz w:val="18"/>
          <w:szCs w:val="18"/>
        </w:rPr>
      </w:pPr>
      <w:bookmarkStart w:id="5" w:name="_Hlk201581162"/>
      <w:r w:rsidRPr="00EA796E">
        <w:rPr>
          <w:rFonts w:ascii="Century Gothic" w:hAnsi="Century Gothic" w:cs="Open Sans Light"/>
          <w:sz w:val="18"/>
          <w:szCs w:val="18"/>
        </w:rPr>
        <w:t xml:space="preserve">We charge a fee </w:t>
      </w:r>
      <w:r w:rsidR="00B834D5" w:rsidRPr="00EA796E">
        <w:rPr>
          <w:rFonts w:ascii="Century Gothic" w:hAnsi="Century Gothic" w:cs="Open Sans Light"/>
          <w:sz w:val="18"/>
          <w:szCs w:val="18"/>
        </w:rPr>
        <w:t>fo</w:t>
      </w:r>
      <w:r w:rsidRPr="00EA796E">
        <w:rPr>
          <w:rFonts w:ascii="Century Gothic" w:hAnsi="Century Gothic" w:cs="Open Sans Light"/>
          <w:sz w:val="18"/>
          <w:szCs w:val="18"/>
        </w:rPr>
        <w:t xml:space="preserve">r advising on and arranging your mortgage. Our fee will be payable </w:t>
      </w:r>
      <w:bookmarkStart w:id="6" w:name="_Hlk202869429"/>
      <w:r w:rsidRPr="00EA796E">
        <w:rPr>
          <w:rFonts w:ascii="Century Gothic" w:hAnsi="Century Gothic" w:cs="Open Sans Light"/>
          <w:sz w:val="18"/>
          <w:szCs w:val="18"/>
        </w:rPr>
        <w:t>before we do any chargeable work</w:t>
      </w:r>
      <w:r w:rsidR="00B834D5" w:rsidRPr="00EA796E">
        <w:rPr>
          <w:rFonts w:ascii="Century Gothic" w:hAnsi="Century Gothic" w:cs="Open Sans Light"/>
          <w:sz w:val="18"/>
          <w:szCs w:val="18"/>
        </w:rPr>
        <w:t xml:space="preserve"> (which is non-refundable)</w:t>
      </w:r>
      <w:r w:rsidRPr="00EA796E">
        <w:rPr>
          <w:rFonts w:ascii="Century Gothic" w:hAnsi="Century Gothic" w:cs="Open Sans Light"/>
          <w:sz w:val="18"/>
          <w:szCs w:val="18"/>
        </w:rPr>
        <w:t xml:space="preserve"> upon receipt of your recommendation/application/</w:t>
      </w:r>
      <w:r w:rsidR="00B834D5" w:rsidRPr="00EA796E">
        <w:rPr>
          <w:rFonts w:ascii="Century Gothic" w:hAnsi="Century Gothic" w:cs="Open Sans Light"/>
          <w:sz w:val="18"/>
          <w:szCs w:val="18"/>
        </w:rPr>
        <w:t xml:space="preserve"> </w:t>
      </w:r>
      <w:r w:rsidRPr="00EA796E">
        <w:rPr>
          <w:rFonts w:ascii="Century Gothic" w:hAnsi="Century Gothic" w:cs="Open Sans Light"/>
          <w:sz w:val="18"/>
          <w:szCs w:val="18"/>
        </w:rPr>
        <w:t>offer/completion of your mortgage</w:t>
      </w:r>
      <w:bookmarkEnd w:id="6"/>
      <w:r w:rsidRPr="00EA796E">
        <w:rPr>
          <w:rFonts w:ascii="Century Gothic" w:hAnsi="Century Gothic" w:cs="Open Sans Light"/>
          <w:sz w:val="18"/>
          <w:szCs w:val="18"/>
        </w:rPr>
        <w:t>. We will also receive commission from the lender.</w:t>
      </w:r>
    </w:p>
    <w:p w14:paraId="0EDCF4E9" w14:textId="77777777" w:rsidR="00FA3A9D" w:rsidRPr="00B87739" w:rsidRDefault="00FA3A9D" w:rsidP="00FA3A9D">
      <w:pPr>
        <w:rPr>
          <w:rFonts w:ascii="Open Sans Light" w:hAnsi="Open Sans Light" w:cs="Open Sans Light"/>
          <w:sz w:val="18"/>
          <w:szCs w:val="18"/>
        </w:rPr>
      </w:pPr>
    </w:p>
    <w:p w14:paraId="761AFEB1" w14:textId="6E6FC2BA" w:rsidR="003F6D56" w:rsidRPr="00F453A9" w:rsidRDefault="003F6D56" w:rsidP="003F6D56">
      <w:pPr>
        <w:rPr>
          <w:rFonts w:ascii="Century Gothic" w:hAnsi="Century Gothic" w:cs="Open Sans Light"/>
          <w:sz w:val="18"/>
          <w:szCs w:val="18"/>
        </w:rPr>
      </w:pPr>
      <w:r w:rsidRPr="00F453A9">
        <w:rPr>
          <w:rFonts w:ascii="Century Gothic" w:hAnsi="Century Gothic" w:cs="Open Sans Light"/>
          <w:sz w:val="18"/>
          <w:szCs w:val="18"/>
        </w:rPr>
        <w:t xml:space="preserve">The fees for our mortgage advice service are as follows: </w:t>
      </w:r>
    </w:p>
    <w:p w14:paraId="04A9B25B" w14:textId="77777777" w:rsidR="003F6D56" w:rsidRPr="00F453A9" w:rsidRDefault="003F6D56" w:rsidP="003F6D56">
      <w:pPr>
        <w:rPr>
          <w:rFonts w:ascii="Century Gothic" w:hAnsi="Century Gothic" w:cs="Open Sans Light"/>
          <w:sz w:val="18"/>
          <w:szCs w:val="18"/>
        </w:rPr>
      </w:pPr>
    </w:p>
    <w:p w14:paraId="37CD89C1" w14:textId="77777777" w:rsidR="00B834D5" w:rsidRPr="00B834D5" w:rsidRDefault="00C7343D" w:rsidP="009E6A6B">
      <w:pPr>
        <w:pStyle w:val="ListParagraph"/>
        <w:numPr>
          <w:ilvl w:val="0"/>
          <w:numId w:val="22"/>
        </w:numPr>
        <w:suppressAutoHyphens/>
        <w:autoSpaceDN w:val="0"/>
        <w:spacing w:before="60" w:after="0" w:line="240" w:lineRule="auto"/>
        <w:ind w:left="425" w:hanging="357"/>
        <w:contextualSpacing w:val="0"/>
        <w:textAlignment w:val="baseline"/>
        <w:rPr>
          <w:rFonts w:ascii="Century Gothic" w:hAnsi="Century Gothic"/>
          <w:sz w:val="18"/>
          <w:szCs w:val="18"/>
        </w:rPr>
      </w:pPr>
      <w:r w:rsidRPr="00B834D5">
        <w:rPr>
          <w:rFonts w:ascii="Century Gothic" w:hAnsi="Century Gothic" w:cs="Open Sans Light"/>
          <w:b/>
          <w:bCs/>
          <w:sz w:val="18"/>
          <w:szCs w:val="18"/>
        </w:rPr>
        <w:t xml:space="preserve">Residential </w:t>
      </w:r>
      <w:r w:rsidR="00EC56B2" w:rsidRPr="00B834D5">
        <w:rPr>
          <w:rFonts w:ascii="Calibri" w:hAnsi="Calibri" w:cs="Calibri"/>
          <w:b/>
          <w:bCs/>
        </w:rPr>
        <w:t>P</w:t>
      </w:r>
      <w:r w:rsidR="007217B7" w:rsidRPr="00B834D5">
        <w:rPr>
          <w:rFonts w:ascii="Calibri" w:hAnsi="Calibri" w:cs="Calibri"/>
          <w:b/>
          <w:bCs/>
        </w:rPr>
        <w:t>urchase/</w:t>
      </w:r>
      <w:r w:rsidR="00EC56B2" w:rsidRPr="00B834D5">
        <w:rPr>
          <w:rFonts w:ascii="Calibri" w:hAnsi="Calibri" w:cs="Calibri"/>
          <w:b/>
          <w:bCs/>
        </w:rPr>
        <w:t>R</w:t>
      </w:r>
      <w:r w:rsidR="007217B7" w:rsidRPr="00B834D5">
        <w:rPr>
          <w:rFonts w:ascii="Calibri" w:hAnsi="Calibri" w:cs="Calibri"/>
          <w:b/>
          <w:bCs/>
        </w:rPr>
        <w:t>emortgage</w:t>
      </w:r>
      <w:r w:rsidRPr="00B834D5">
        <w:rPr>
          <w:rFonts w:ascii="Century Gothic" w:hAnsi="Century Gothic" w:cs="Open Sans Light"/>
          <w:b/>
          <w:bCs/>
          <w:sz w:val="18"/>
          <w:szCs w:val="18"/>
        </w:rPr>
        <w:t>:</w:t>
      </w:r>
      <w:r w:rsidRPr="00B834D5">
        <w:rPr>
          <w:rFonts w:ascii="Century Gothic" w:hAnsi="Century Gothic" w:cs="Open Sans Light"/>
          <w:sz w:val="18"/>
          <w:szCs w:val="18"/>
        </w:rPr>
        <w:t xml:space="preserve"> </w:t>
      </w:r>
      <w:r w:rsidRPr="00B834D5">
        <w:rPr>
          <w:rFonts w:ascii="Century Gothic" w:hAnsi="Century Gothic"/>
          <w:sz w:val="18"/>
          <w:szCs w:val="18"/>
        </w:rPr>
        <w:t>We charge a</w:t>
      </w:r>
      <w:r w:rsidR="00D26FA3" w:rsidRPr="00B834D5">
        <w:rPr>
          <w:rFonts w:ascii="Century Gothic" w:hAnsi="Century Gothic"/>
          <w:sz w:val="18"/>
          <w:szCs w:val="18"/>
        </w:rPr>
        <w:t xml:space="preserve"> </w:t>
      </w:r>
      <w:r w:rsidRPr="00B834D5">
        <w:rPr>
          <w:rFonts w:ascii="Century Gothic" w:hAnsi="Century Gothic"/>
          <w:sz w:val="18"/>
          <w:szCs w:val="18"/>
        </w:rPr>
        <w:t>fee of £295</w:t>
      </w:r>
      <w:r w:rsidR="00D26FA3" w:rsidRPr="00B834D5">
        <w:rPr>
          <w:rFonts w:ascii="Century Gothic" w:hAnsi="Century Gothic"/>
          <w:sz w:val="18"/>
          <w:szCs w:val="18"/>
        </w:rPr>
        <w:t>.</w:t>
      </w:r>
      <w:r w:rsidR="00B834D5" w:rsidRPr="00B834D5">
        <w:rPr>
          <w:rFonts w:ascii="Century Gothic" w:hAnsi="Century Gothic"/>
          <w:sz w:val="18"/>
          <w:szCs w:val="18"/>
        </w:rPr>
        <w:t xml:space="preserve"> </w:t>
      </w:r>
      <w:r w:rsidRPr="00B834D5">
        <w:rPr>
          <w:rFonts w:ascii="Century Gothic" w:hAnsi="Century Gothic"/>
          <w:sz w:val="18"/>
          <w:szCs w:val="18"/>
        </w:rPr>
        <w:t xml:space="preserve">This fee will form part of the total adviser fee of £445 and will be deducted from the balance due upon completion of business.  </w:t>
      </w:r>
      <w:r w:rsidR="00B834D5" w:rsidRPr="00B834D5">
        <w:rPr>
          <w:rFonts w:ascii="Century Gothic" w:hAnsi="Century Gothic"/>
          <w:sz w:val="18"/>
          <w:szCs w:val="18"/>
        </w:rPr>
        <w:br/>
      </w:r>
    </w:p>
    <w:p w14:paraId="15D44A4B" w14:textId="587B56C7" w:rsidR="00693B24" w:rsidRDefault="00693B24" w:rsidP="00473212">
      <w:pPr>
        <w:pStyle w:val="ListParagraph"/>
        <w:numPr>
          <w:ilvl w:val="0"/>
          <w:numId w:val="22"/>
        </w:numPr>
        <w:suppressAutoHyphens/>
        <w:autoSpaceDN w:val="0"/>
        <w:spacing w:after="0" w:line="240" w:lineRule="auto"/>
        <w:ind w:left="425" w:hanging="357"/>
        <w:contextualSpacing w:val="0"/>
        <w:textAlignment w:val="baseline"/>
        <w:rPr>
          <w:rFonts w:ascii="Century Gothic" w:hAnsi="Century Gothic"/>
          <w:sz w:val="18"/>
          <w:szCs w:val="18"/>
        </w:rPr>
      </w:pPr>
      <w:r w:rsidRPr="00B834D5">
        <w:rPr>
          <w:rFonts w:ascii="Century Gothic" w:hAnsi="Century Gothic" w:cs="Open Sans Light"/>
          <w:b/>
          <w:bCs/>
          <w:sz w:val="18"/>
          <w:szCs w:val="18"/>
        </w:rPr>
        <w:t>Buy to let:</w:t>
      </w:r>
      <w:r w:rsidRPr="00B834D5">
        <w:rPr>
          <w:rFonts w:ascii="Century Gothic" w:hAnsi="Century Gothic" w:cs="Open Sans Light"/>
          <w:sz w:val="18"/>
          <w:szCs w:val="18"/>
        </w:rPr>
        <w:t xml:space="preserve"> </w:t>
      </w:r>
      <w:r w:rsidRPr="00B834D5">
        <w:rPr>
          <w:rFonts w:ascii="Century Gothic" w:hAnsi="Century Gothic"/>
          <w:sz w:val="18"/>
          <w:szCs w:val="18"/>
        </w:rPr>
        <w:t>We charge a</w:t>
      </w:r>
      <w:r w:rsidR="00D26FA3" w:rsidRPr="00B834D5">
        <w:rPr>
          <w:rFonts w:ascii="Century Gothic" w:hAnsi="Century Gothic"/>
          <w:sz w:val="18"/>
          <w:szCs w:val="18"/>
        </w:rPr>
        <w:t xml:space="preserve"> </w:t>
      </w:r>
      <w:r w:rsidRPr="00B834D5">
        <w:rPr>
          <w:rFonts w:ascii="Century Gothic" w:hAnsi="Century Gothic"/>
          <w:sz w:val="18"/>
          <w:szCs w:val="18"/>
        </w:rPr>
        <w:t>fee of £295</w:t>
      </w:r>
      <w:r w:rsidR="00D26FA3" w:rsidRPr="00B834D5">
        <w:rPr>
          <w:rFonts w:ascii="Century Gothic" w:hAnsi="Century Gothic"/>
          <w:sz w:val="18"/>
          <w:szCs w:val="18"/>
        </w:rPr>
        <w:t>.</w:t>
      </w:r>
      <w:r w:rsidR="00B834D5" w:rsidRPr="00B834D5">
        <w:rPr>
          <w:rFonts w:ascii="Century Gothic" w:hAnsi="Century Gothic"/>
          <w:sz w:val="18"/>
          <w:szCs w:val="18"/>
        </w:rPr>
        <w:t xml:space="preserve"> </w:t>
      </w:r>
      <w:r w:rsidRPr="00B834D5">
        <w:rPr>
          <w:rFonts w:ascii="Century Gothic" w:hAnsi="Century Gothic"/>
          <w:sz w:val="18"/>
          <w:szCs w:val="18"/>
        </w:rPr>
        <w:t xml:space="preserve">This fee will form part of the total adviser fee of £545 and will be deducted from the balance due upon completion of business.  </w:t>
      </w:r>
    </w:p>
    <w:p w14:paraId="0EBCFB85" w14:textId="234B3B30" w:rsidR="00011561" w:rsidRDefault="00011561" w:rsidP="00011561">
      <w:pPr>
        <w:suppressAutoHyphens/>
        <w:autoSpaceDN w:val="0"/>
        <w:textAlignment w:val="baseline"/>
        <w:rPr>
          <w:rFonts w:ascii="Century Gothic" w:hAnsi="Century Gothic"/>
          <w:sz w:val="18"/>
          <w:szCs w:val="18"/>
        </w:rPr>
      </w:pPr>
    </w:p>
    <w:p w14:paraId="2CF8B1A0" w14:textId="77777777" w:rsidR="00011561" w:rsidRPr="00CD361E" w:rsidRDefault="00011561" w:rsidP="00011561">
      <w:pPr>
        <w:rPr>
          <w:rFonts w:ascii="Century Gothic" w:hAnsi="Century Gothic" w:cs="Open Sans Light"/>
          <w:b/>
          <w:bCs/>
          <w:sz w:val="18"/>
          <w:szCs w:val="18"/>
          <w:u w:val="single"/>
        </w:rPr>
      </w:pPr>
      <w:r w:rsidRPr="00CD361E">
        <w:rPr>
          <w:rFonts w:ascii="Century Gothic" w:hAnsi="Century Gothic" w:cs="Open Sans Light"/>
          <w:b/>
          <w:bCs/>
          <w:sz w:val="18"/>
          <w:szCs w:val="18"/>
          <w:u w:val="single"/>
        </w:rPr>
        <w:t xml:space="preserve">Lifetime Mortgage and Home Reversion Schemes </w:t>
      </w:r>
    </w:p>
    <w:p w14:paraId="5BC32143" w14:textId="77777777" w:rsidR="00011561" w:rsidRPr="00CD361E" w:rsidRDefault="00011561" w:rsidP="00011561">
      <w:pPr>
        <w:rPr>
          <w:rFonts w:ascii="Century Gothic" w:hAnsi="Century Gothic" w:cs="Open Sans Light"/>
          <w:sz w:val="18"/>
          <w:szCs w:val="18"/>
        </w:rPr>
      </w:pPr>
    </w:p>
    <w:p w14:paraId="67DFF4E2" w14:textId="77777777" w:rsidR="00011561" w:rsidRPr="00CD361E" w:rsidRDefault="00011561" w:rsidP="00011561">
      <w:pPr>
        <w:rPr>
          <w:rFonts w:ascii="Century Gothic" w:hAnsi="Century Gothic" w:cs="Open Sans Light"/>
          <w:sz w:val="18"/>
          <w:szCs w:val="18"/>
        </w:rPr>
      </w:pPr>
      <w:r w:rsidRPr="00CD361E">
        <w:rPr>
          <w:rFonts w:ascii="Century Gothic" w:hAnsi="Century Gothic" w:cs="Open Sans Light"/>
          <w:sz w:val="18"/>
          <w:szCs w:val="18"/>
        </w:rPr>
        <w:t>For Equity Release business, we will make a recommendation once we have assessed your needs.</w:t>
      </w:r>
    </w:p>
    <w:p w14:paraId="15C2715F" w14:textId="77777777" w:rsidR="00011561" w:rsidRPr="00CD361E" w:rsidRDefault="00011561" w:rsidP="00011561">
      <w:pPr>
        <w:rPr>
          <w:rFonts w:ascii="Century Gothic" w:hAnsi="Century Gothic" w:cs="Open Sans Light"/>
          <w:sz w:val="18"/>
          <w:szCs w:val="18"/>
        </w:rPr>
      </w:pPr>
    </w:p>
    <w:p w14:paraId="5F84193C" w14:textId="77777777" w:rsidR="00011561" w:rsidRPr="00CD361E" w:rsidRDefault="00011561" w:rsidP="00011561">
      <w:pPr>
        <w:rPr>
          <w:rFonts w:ascii="Century Gothic" w:hAnsi="Century Gothic" w:cs="Open Sans Light"/>
          <w:sz w:val="18"/>
          <w:szCs w:val="18"/>
        </w:rPr>
      </w:pPr>
      <w:r w:rsidRPr="00CD361E">
        <w:rPr>
          <w:rFonts w:ascii="Century Gothic" w:hAnsi="Century Gothic" w:cs="Open Sans Light"/>
          <w:sz w:val="18"/>
          <w:szCs w:val="18"/>
        </w:rPr>
        <w:t>We offer Lifetime Mortgages and Home Reversion plans from the whole of the market.</w:t>
      </w:r>
    </w:p>
    <w:p w14:paraId="69C8F6D3" w14:textId="77777777" w:rsidR="00011561" w:rsidRPr="00CD361E" w:rsidRDefault="00011561" w:rsidP="00011561">
      <w:pPr>
        <w:rPr>
          <w:rFonts w:ascii="Century Gothic" w:hAnsi="Century Gothic" w:cs="Open Sans Light"/>
          <w:sz w:val="18"/>
          <w:szCs w:val="18"/>
        </w:rPr>
      </w:pPr>
    </w:p>
    <w:p w14:paraId="5DB1E94C" w14:textId="77777777" w:rsidR="00011561" w:rsidRPr="00CD361E" w:rsidRDefault="00011561" w:rsidP="00011561">
      <w:pPr>
        <w:rPr>
          <w:rFonts w:ascii="Century Gothic" w:hAnsi="Century Gothic" w:cs="Open Sans Light"/>
          <w:sz w:val="18"/>
          <w:szCs w:val="18"/>
        </w:rPr>
      </w:pPr>
      <w:r w:rsidRPr="00CD361E">
        <w:rPr>
          <w:rFonts w:ascii="Century Gothic" w:hAnsi="Century Gothic"/>
          <w:bCs/>
          <w:sz w:val="18"/>
          <w:szCs w:val="18"/>
        </w:rPr>
        <w:t xml:space="preserve">We charge a fee of £345. </w:t>
      </w:r>
      <w:r>
        <w:rPr>
          <w:rFonts w:ascii="Century Gothic" w:hAnsi="Century Gothic"/>
          <w:bCs/>
          <w:sz w:val="18"/>
          <w:szCs w:val="18"/>
        </w:rPr>
        <w:t>This f</w:t>
      </w:r>
      <w:r w:rsidRPr="00CD361E">
        <w:rPr>
          <w:rFonts w:ascii="Century Gothic" w:hAnsi="Century Gothic" w:cs="Open Sans Light"/>
          <w:sz w:val="18"/>
          <w:szCs w:val="18"/>
        </w:rPr>
        <w:t>ee will be payable before we do any chargeable work (which is non-refundable)</w:t>
      </w:r>
      <w:r>
        <w:rPr>
          <w:rFonts w:ascii="Century Gothic" w:hAnsi="Century Gothic" w:cs="Open Sans Light"/>
          <w:sz w:val="18"/>
          <w:szCs w:val="18"/>
        </w:rPr>
        <w:t xml:space="preserve">.  </w:t>
      </w:r>
      <w:r w:rsidRPr="00CD361E">
        <w:rPr>
          <w:rFonts w:ascii="Century Gothic" w:hAnsi="Century Gothic"/>
          <w:bCs/>
          <w:sz w:val="18"/>
          <w:szCs w:val="18"/>
        </w:rPr>
        <w:t>This fee will form part of the total adviser fee of £895 and will be deducted from the balance due upon completion of business.</w:t>
      </w:r>
      <w:r>
        <w:rPr>
          <w:rFonts w:ascii="Century Gothic" w:hAnsi="Century Gothic"/>
          <w:bCs/>
          <w:sz w:val="18"/>
          <w:szCs w:val="18"/>
        </w:rPr>
        <w:br/>
      </w:r>
      <w:r w:rsidRPr="00CD361E">
        <w:rPr>
          <w:rFonts w:ascii="Century Gothic" w:hAnsi="Century Gothic"/>
          <w:bCs/>
          <w:sz w:val="18"/>
          <w:szCs w:val="18"/>
        </w:rPr>
        <w:t xml:space="preserve"> </w:t>
      </w:r>
    </w:p>
    <w:p w14:paraId="0D4FF0FD" w14:textId="77777777" w:rsidR="00011561" w:rsidRPr="00CD361E" w:rsidRDefault="00011561" w:rsidP="00011561">
      <w:pPr>
        <w:suppressAutoHyphens/>
        <w:autoSpaceDN w:val="0"/>
        <w:spacing w:before="60"/>
        <w:textAlignment w:val="baseline"/>
        <w:rPr>
          <w:rFonts w:ascii="Century Gothic" w:hAnsi="Century Gothic" w:cs="Open Sans Light"/>
          <w:sz w:val="18"/>
          <w:szCs w:val="18"/>
        </w:rPr>
      </w:pPr>
      <w:r w:rsidRPr="00CD361E">
        <w:rPr>
          <w:rFonts w:ascii="Century Gothic" w:hAnsi="Century Gothic" w:cs="Open Sans Light"/>
          <w:sz w:val="18"/>
          <w:szCs w:val="18"/>
        </w:rPr>
        <w:t>In addition to the above fees, we will also receive a commission from the lender. You will receive an illustration when considering a particular Lifetime mortgage or Home Reversion plan, which tell you the actual amount of our fees and about any other fees relating to this.</w:t>
      </w:r>
    </w:p>
    <w:p w14:paraId="182A61DA" w14:textId="77777777" w:rsidR="00011561" w:rsidRPr="00011561" w:rsidRDefault="00011561" w:rsidP="00011561">
      <w:pPr>
        <w:suppressAutoHyphens/>
        <w:autoSpaceDN w:val="0"/>
        <w:textAlignment w:val="baseline"/>
        <w:rPr>
          <w:rFonts w:ascii="Century Gothic" w:hAnsi="Century Gothic"/>
          <w:sz w:val="18"/>
          <w:szCs w:val="18"/>
        </w:rPr>
      </w:pPr>
    </w:p>
    <w:bookmarkEnd w:id="0"/>
    <w:bookmarkEnd w:id="5"/>
    <w:p w14:paraId="7D0C7268" w14:textId="77777777" w:rsidR="00B049BD" w:rsidRPr="00CA3DD2" w:rsidRDefault="00B049BD" w:rsidP="00C7343D">
      <w:pPr>
        <w:pStyle w:val="ListParagraph"/>
        <w:suppressAutoHyphens/>
        <w:autoSpaceDN w:val="0"/>
        <w:spacing w:after="0" w:line="240" w:lineRule="auto"/>
        <w:ind w:left="426"/>
        <w:contextualSpacing w:val="0"/>
        <w:textAlignment w:val="baseline"/>
        <w:rPr>
          <w:rFonts w:ascii="Century Gothic" w:hAnsi="Century Gothic"/>
          <w:sz w:val="18"/>
          <w:szCs w:val="18"/>
        </w:rPr>
      </w:pPr>
    </w:p>
    <w:sectPr w:rsidR="00B049BD" w:rsidRPr="00CA3DD2" w:rsidSect="004E34B0">
      <w:headerReference w:type="default" r:id="rId11"/>
      <w:footerReference w:type="default" r:id="rId12"/>
      <w:footerReference w:type="first" r:id="rId13"/>
      <w:pgSz w:w="11900" w:h="16840"/>
      <w:pgMar w:top="1134" w:right="1270" w:bottom="284" w:left="1247" w:header="425" w:footer="544"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136D9" w14:textId="77777777" w:rsidR="00C051B9" w:rsidRDefault="00C051B9" w:rsidP="00076A79">
      <w:r>
        <w:separator/>
      </w:r>
    </w:p>
  </w:endnote>
  <w:endnote w:type="continuationSeparator" w:id="0">
    <w:p w14:paraId="2DAA244C" w14:textId="77777777" w:rsidR="00C051B9" w:rsidRDefault="00C051B9" w:rsidP="0007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Open Sans">
    <w:charset w:val="00"/>
    <w:family w:val="swiss"/>
    <w:pitch w:val="variable"/>
    <w:sig w:usb0="E00002EF" w:usb1="4000205B" w:usb2="00000028" w:usb3="00000000" w:csb0="0000019F" w:csb1="00000000"/>
  </w:font>
  <w:font w:name="Futura Serie BQ">
    <w:altName w:val="Century Gothic"/>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EFOP-Book">
    <w:altName w:val="Times New Roman"/>
    <w:panose1 w:val="00000000000000000000"/>
    <w:charset w:val="00"/>
    <w:family w:val="modern"/>
    <w:notTrueType/>
    <w:pitch w:val="variable"/>
    <w:sig w:usb0="8000002F"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5F4A" w14:textId="709D60FC" w:rsidR="004809DA" w:rsidRDefault="004809DA" w:rsidP="002C66B9">
    <w:pPr>
      <w:pStyle w:val="Footer"/>
      <w:tabs>
        <w:tab w:val="left" w:pos="1490"/>
      </w:tabs>
      <w:jc w:val="center"/>
    </w:pPr>
    <w:r>
      <w:rPr>
        <w:rFonts w:asciiTheme="minorHAnsi" w:hAnsiTheme="minorHAnsi"/>
        <w:noProof/>
        <w:sz w:val="16"/>
        <w:szCs w:val="16"/>
      </w:rPr>
      <mc:AlternateContent>
        <mc:Choice Requires="wps">
          <w:drawing>
            <wp:anchor distT="0" distB="0" distL="114300" distR="114300" simplePos="0" relativeHeight="251658240" behindDoc="0" locked="0" layoutInCell="0" allowOverlap="1" wp14:anchorId="409D696B" wp14:editId="1C9BADA2">
              <wp:simplePos x="0" y="0"/>
              <wp:positionH relativeFrom="page">
                <wp:posOffset>0</wp:posOffset>
              </wp:positionH>
              <wp:positionV relativeFrom="page">
                <wp:posOffset>10250170</wp:posOffset>
              </wp:positionV>
              <wp:extent cx="7556500" cy="252095"/>
              <wp:effectExtent l="0" t="0" r="0" b="14605"/>
              <wp:wrapNone/>
              <wp:docPr id="9" name="MSIPCMb8184484a3c4be6fda116079" descr="{&quot;HashCode&quot;:133388492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B91232" w14:textId="0C5C7853" w:rsidR="004809DA" w:rsidRPr="003521A9" w:rsidRDefault="004809DA" w:rsidP="003521A9">
                          <w:pPr>
                            <w:jc w:val="center"/>
                            <w:rPr>
                              <w:rFonts w:ascii="Arial" w:hAnsi="Arial" w:cs="Arial"/>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9D696B" id="_x0000_t202" coordsize="21600,21600" o:spt="202" path="m,l,21600r21600,l21600,xe">
              <v:stroke joinstyle="miter"/>
              <v:path gradientshapeok="t" o:connecttype="rect"/>
            </v:shapetype>
            <v:shape id="MSIPCMb8184484a3c4be6fda116079" o:spid="_x0000_s1026" type="#_x0000_t202" alt="{&quot;HashCode&quot;:1333884922,&quot;Height&quot;:842.0,&quot;Width&quot;:595.0,&quot;Placement&quot;:&quot;Footer&quot;,&quot;Index&quot;:&quot;Primary&quot;,&quot;Section&quot;:1,&quot;Top&quot;:0.0,&quot;Left&quot;:0.0}" style="position:absolute;left:0;text-align:left;margin-left:0;margin-top:807.1pt;width:595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" o:allowincell="f" filled="f" stroked="f" strokeweight=".5pt">
              <v:textbox inset=",0,,0">
                <w:txbxContent>
                  <w:p w14:paraId="11B91232" w14:textId="0C5C7853" w:rsidR="004809DA" w:rsidRPr="003521A9" w:rsidRDefault="004809DA" w:rsidP="003521A9">
                    <w:pPr>
                      <w:jc w:val="center"/>
                      <w:rPr>
                        <w:rFonts w:ascii="Arial" w:hAnsi="Arial" w:cs="Arial"/>
                        <w:color w:val="000000"/>
                        <w:sz w:val="20"/>
                      </w:rPr>
                    </w:pPr>
                  </w:p>
                </w:txbxContent>
              </v:textbox>
              <w10:wrap anchorx="page" anchory="page"/>
            </v:shape>
          </w:pict>
        </mc:Fallback>
      </mc:AlternateContent>
    </w:r>
    <w:r w:rsidRPr="00706FC8">
      <w:rPr>
        <w:rFonts w:asciiTheme="minorHAnsi" w:hAnsiTheme="minorHAnsi"/>
        <w:sz w:val="16"/>
        <w:szCs w:val="16"/>
      </w:rPr>
      <w:t>TOB.FP.</w:t>
    </w:r>
    <w:r w:rsidR="002C66B9">
      <w:rPr>
        <w:rFonts w:asciiTheme="minorHAnsi" w:hAnsiTheme="minorHAnsi"/>
        <w:sz w:val="16"/>
        <w:szCs w:val="16"/>
      </w:rPr>
      <w:t>3</w:t>
    </w:r>
    <w:r w:rsidR="00D63CAA">
      <w:rPr>
        <w:rFonts w:asciiTheme="minorHAnsi" w:hAnsiTheme="minorHAnsi"/>
        <w:sz w:val="16"/>
        <w:szCs w:val="16"/>
      </w:rPr>
      <w:t>.0</w:t>
    </w:r>
    <w:r w:rsidR="0012188E">
      <w:rPr>
        <w:rFonts w:asciiTheme="minorHAnsi" w:hAnsiTheme="minorHAnsi"/>
        <w:sz w:val="16"/>
        <w:szCs w:val="16"/>
      </w:rPr>
      <w:t>.</w:t>
    </w:r>
    <w:r w:rsidRPr="00706FC8">
      <w:tab/>
    </w:r>
    <w:r w:rsidR="002C66B9">
      <w:tab/>
    </w:r>
    <w:r w:rsidRPr="00706FC8">
      <w:tab/>
    </w:r>
    <w:sdt>
      <w:sdtPr>
        <w:id w:val="-5717377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14:paraId="47DD9E5B" w14:textId="77777777" w:rsidR="004809DA" w:rsidRPr="00927B51" w:rsidRDefault="004809DA" w:rsidP="00074E26">
    <w:pPr>
      <w:pStyle w:val="Footer"/>
      <w:tabs>
        <w:tab w:val="left" w:pos="2364"/>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954A3" w14:textId="38D6C18D" w:rsidR="004809DA" w:rsidRDefault="004809DA" w:rsidP="000108CF">
    <w:pPr>
      <w:pStyle w:val="Footer"/>
      <w:jc w:val="center"/>
    </w:pPr>
    <w:r>
      <w:rPr>
        <w:rFonts w:asciiTheme="minorHAnsi" w:hAnsiTheme="minorHAnsi"/>
        <w:noProof/>
        <w:sz w:val="16"/>
        <w:szCs w:val="16"/>
      </w:rPr>
      <mc:AlternateContent>
        <mc:Choice Requires="wps">
          <w:drawing>
            <wp:anchor distT="0" distB="0" distL="114300" distR="114300" simplePos="0" relativeHeight="251658241" behindDoc="0" locked="0" layoutInCell="0" allowOverlap="1" wp14:anchorId="7B316D8B" wp14:editId="3CD9A3E4">
              <wp:simplePos x="0" y="0"/>
              <wp:positionH relativeFrom="page">
                <wp:posOffset>0</wp:posOffset>
              </wp:positionH>
              <wp:positionV relativeFrom="page">
                <wp:posOffset>10250170</wp:posOffset>
              </wp:positionV>
              <wp:extent cx="7556500" cy="252095"/>
              <wp:effectExtent l="0" t="0" r="0" b="14605"/>
              <wp:wrapNone/>
              <wp:docPr id="10" name="MSIPCM0aac4d0991d5691d2045be7d" descr="{&quot;HashCode&quot;:133388492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FDB0B7" w14:textId="55AA33EF" w:rsidR="004809DA" w:rsidRPr="003521A9" w:rsidRDefault="004809DA" w:rsidP="003521A9">
                          <w:pPr>
                            <w:jc w:val="center"/>
                            <w:rPr>
                              <w:rFonts w:ascii="Arial" w:hAnsi="Arial" w:cs="Arial"/>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316D8B" id="_x0000_t202" coordsize="21600,21600" o:spt="202" path="m,l,21600r21600,l21600,xe">
              <v:stroke joinstyle="miter"/>
              <v:path gradientshapeok="t" o:connecttype="rect"/>
            </v:shapetype>
            <v:shape id="MSIPCM0aac4d0991d5691d2045be7d" o:spid="_x0000_s1027" type="#_x0000_t202" alt="{&quot;HashCode&quot;:1333884922,&quot;Height&quot;:842.0,&quot;Width&quot;:595.0,&quot;Placement&quot;:&quot;Footer&quot;,&quot;Index&quot;:&quot;FirstPage&quot;,&quot;Section&quot;:1,&quot;Top&quot;:0.0,&quot;Left&quot;:0.0}" style="position:absolute;left:0;text-align:left;margin-left:0;margin-top:807.1pt;width:595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" o:allowincell="f" filled="f" stroked="f" strokeweight=".5pt">
              <v:textbox inset=",0,,0">
                <w:txbxContent>
                  <w:p w14:paraId="18FDB0B7" w14:textId="55AA33EF" w:rsidR="004809DA" w:rsidRPr="003521A9" w:rsidRDefault="004809DA" w:rsidP="003521A9">
                    <w:pPr>
                      <w:jc w:val="center"/>
                      <w:rPr>
                        <w:rFonts w:ascii="Arial" w:hAnsi="Arial" w:cs="Arial"/>
                        <w:color w:val="000000"/>
                        <w:sz w:val="20"/>
                      </w:rPr>
                    </w:pPr>
                  </w:p>
                </w:txbxContent>
              </v:textbox>
              <w10:wrap anchorx="page" anchory="page"/>
            </v:shape>
          </w:pict>
        </mc:Fallback>
      </mc:AlternateContent>
    </w:r>
    <w:r w:rsidRPr="00706FC8">
      <w:rPr>
        <w:rFonts w:asciiTheme="minorHAnsi" w:hAnsiTheme="minorHAnsi"/>
        <w:sz w:val="16"/>
        <w:szCs w:val="16"/>
      </w:rPr>
      <w:t>TOB.FP.</w:t>
    </w:r>
    <w:r w:rsidR="002C66B9">
      <w:rPr>
        <w:rFonts w:asciiTheme="minorHAnsi" w:hAnsiTheme="minorHAnsi"/>
        <w:sz w:val="16"/>
        <w:szCs w:val="16"/>
      </w:rPr>
      <w:t>3</w:t>
    </w:r>
    <w:r w:rsidR="006765F5">
      <w:rPr>
        <w:rFonts w:asciiTheme="minorHAnsi" w:hAnsiTheme="minorHAnsi"/>
        <w:sz w:val="16"/>
        <w:szCs w:val="16"/>
      </w:rPr>
      <w:t>.0</w:t>
    </w:r>
    <w:r w:rsidR="00D63CAA">
      <w:rPr>
        <w:rFonts w:asciiTheme="minorHAnsi" w:hAnsiTheme="minorHAnsi"/>
        <w:sz w:val="16"/>
        <w:szCs w:val="16"/>
      </w:rPr>
      <w:t>.</w:t>
    </w:r>
    <w:r w:rsidRPr="00706FC8">
      <w:tab/>
    </w:r>
    <w:r w:rsidRPr="00706FC8">
      <w:tab/>
    </w:r>
    <w:sdt>
      <w:sdtPr>
        <w:id w:val="2636510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16</w:t>
        </w:r>
        <w:r>
          <w:rPr>
            <w:noProof/>
          </w:rPr>
          <w:fldChar w:fldCharType="end"/>
        </w:r>
      </w:sdtContent>
    </w:sdt>
  </w:p>
  <w:p w14:paraId="17C89767" w14:textId="77C767F1" w:rsidR="004809DA" w:rsidRDefault="00480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BE2CC" w14:textId="77777777" w:rsidR="00C051B9" w:rsidRDefault="00C051B9" w:rsidP="00076A79">
      <w:r>
        <w:separator/>
      </w:r>
    </w:p>
  </w:footnote>
  <w:footnote w:type="continuationSeparator" w:id="0">
    <w:p w14:paraId="0824A702" w14:textId="77777777" w:rsidR="00C051B9" w:rsidRDefault="00C051B9" w:rsidP="00076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53E7C" w14:textId="0BC31547" w:rsidR="004809DA" w:rsidRDefault="004809DA" w:rsidP="00112485">
    <w:pPr>
      <w:pStyle w:val="Header"/>
      <w:ind w:right="-680"/>
      <w:jc w:val="right"/>
    </w:pPr>
    <w:r>
      <w:tab/>
    </w:r>
    <w:r>
      <w:rPr>
        <w:noProof/>
      </w:rPr>
      <w:drawing>
        <wp:inline distT="0" distB="0" distL="0" distR="0" wp14:anchorId="455F531B" wp14:editId="145CA58E">
          <wp:extent cx="795020" cy="426561"/>
          <wp:effectExtent l="0" t="0" r="508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269" cy="460497"/>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2EC0"/>
    <w:multiLevelType w:val="hybridMultilevel"/>
    <w:tmpl w:val="726E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80766"/>
    <w:multiLevelType w:val="hybridMultilevel"/>
    <w:tmpl w:val="89ECB2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392191"/>
    <w:multiLevelType w:val="hybridMultilevel"/>
    <w:tmpl w:val="FCFCD1CC"/>
    <w:lvl w:ilvl="0" w:tplc="01AA13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D05B59"/>
    <w:multiLevelType w:val="hybridMultilevel"/>
    <w:tmpl w:val="6550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17F06"/>
    <w:multiLevelType w:val="hybridMultilevel"/>
    <w:tmpl w:val="EBBE6E10"/>
    <w:lvl w:ilvl="0" w:tplc="274E45EA">
      <w:start w:val="1"/>
      <w:numFmt w:val="bullet"/>
      <w:lvlText w:val=""/>
      <w:lvlJc w:val="left"/>
      <w:pPr>
        <w:ind w:left="720" w:hanging="360"/>
      </w:pPr>
      <w:rPr>
        <w:rFonts w:ascii="Symbol" w:hAnsi="Symbol" w:hint="default"/>
        <w:b/>
        <w:i w:val="0"/>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C6F9C"/>
    <w:multiLevelType w:val="hybridMultilevel"/>
    <w:tmpl w:val="FFDAE242"/>
    <w:lvl w:ilvl="0" w:tplc="80B4EA0A">
      <w:start w:val="1"/>
      <w:numFmt w:val="decimal"/>
      <w:lvlText w:val="%1."/>
      <w:lvlJc w:val="left"/>
      <w:pPr>
        <w:ind w:left="720" w:hanging="360"/>
      </w:pPr>
      <w:rPr>
        <w:rFonts w:ascii="Arial" w:eastAsia="Arial" w:hAnsi="Arial" w:hint="default"/>
        <w:b w:val="0"/>
        <w:i w:val="0"/>
        <w:strike w:val="0"/>
        <w:color w:val="000000"/>
        <w:position w:val="0"/>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C0CFF"/>
    <w:multiLevelType w:val="hybridMultilevel"/>
    <w:tmpl w:val="0934812C"/>
    <w:lvl w:ilvl="0" w:tplc="C3C01A0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12B2757D"/>
    <w:multiLevelType w:val="hybridMultilevel"/>
    <w:tmpl w:val="1B922F38"/>
    <w:lvl w:ilvl="0" w:tplc="865E5C72">
      <w:start w:val="1"/>
      <w:numFmt w:val="bullet"/>
      <w:lvlText w:val=""/>
      <w:lvlJc w:val="left"/>
      <w:pPr>
        <w:ind w:left="720" w:hanging="360"/>
      </w:pPr>
      <w:rPr>
        <w:rFonts w:ascii="Symbol" w:hAnsi="Symbo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64216"/>
    <w:multiLevelType w:val="multilevel"/>
    <w:tmpl w:val="1000367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8"/>
      <w:numFmt w:val="decimal"/>
      <w:pStyle w:val="Heading9"/>
      <w:lvlText w:val="%9"/>
      <w:lvlJc w:val="left"/>
      <w:pPr>
        <w:ind w:left="465" w:hanging="465"/>
      </w:pPr>
    </w:lvl>
  </w:abstractNum>
  <w:abstractNum w:abstractNumId="9" w15:restartNumberingAfterBreak="0">
    <w:nsid w:val="23564338"/>
    <w:multiLevelType w:val="hybridMultilevel"/>
    <w:tmpl w:val="628E6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146D6"/>
    <w:multiLevelType w:val="hybridMultilevel"/>
    <w:tmpl w:val="74F08A50"/>
    <w:lvl w:ilvl="0" w:tplc="274E45EA">
      <w:start w:val="1"/>
      <w:numFmt w:val="bullet"/>
      <w:lvlText w:val=""/>
      <w:lvlJc w:val="left"/>
      <w:pPr>
        <w:ind w:left="720" w:hanging="360"/>
      </w:pPr>
      <w:rPr>
        <w:rFonts w:ascii="Symbol" w:hAnsi="Symbol" w:hint="default"/>
        <w:b/>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921AF"/>
    <w:multiLevelType w:val="hybridMultilevel"/>
    <w:tmpl w:val="827E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E712D5"/>
    <w:multiLevelType w:val="hybridMultilevel"/>
    <w:tmpl w:val="3D14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3459E"/>
    <w:multiLevelType w:val="hybridMultilevel"/>
    <w:tmpl w:val="F6A01A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C4DF6"/>
    <w:multiLevelType w:val="hybridMultilevel"/>
    <w:tmpl w:val="39828392"/>
    <w:lvl w:ilvl="0" w:tplc="274E45EA">
      <w:start w:val="1"/>
      <w:numFmt w:val="bullet"/>
      <w:lvlText w:val=""/>
      <w:lvlJc w:val="left"/>
      <w:pPr>
        <w:ind w:left="720" w:hanging="360"/>
      </w:pPr>
      <w:rPr>
        <w:rFonts w:ascii="Symbol" w:hAnsi="Symbol" w:hint="default"/>
        <w:b/>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E509A0"/>
    <w:multiLevelType w:val="hybridMultilevel"/>
    <w:tmpl w:val="517093F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B2E5918"/>
    <w:multiLevelType w:val="hybridMultilevel"/>
    <w:tmpl w:val="75B65D4A"/>
    <w:lvl w:ilvl="0" w:tplc="274E45EA">
      <w:start w:val="1"/>
      <w:numFmt w:val="bullet"/>
      <w:lvlText w:val=""/>
      <w:lvlJc w:val="left"/>
      <w:pPr>
        <w:ind w:left="720" w:hanging="360"/>
      </w:pPr>
      <w:rPr>
        <w:rFonts w:ascii="Symbol" w:hAnsi="Symbol" w:hint="default"/>
        <w:b/>
        <w:i w:val="0"/>
        <w:color w:val="000000" w:themeColor="text1"/>
      </w:rPr>
    </w:lvl>
    <w:lvl w:ilvl="1" w:tplc="5F140752">
      <w:numFmt w:val="bullet"/>
      <w:lvlText w:val="•"/>
      <w:lvlJc w:val="left"/>
      <w:pPr>
        <w:ind w:left="1440" w:hanging="360"/>
      </w:pPr>
      <w:rPr>
        <w:rFonts w:ascii="Century Gothic" w:eastAsia="Times New Roman"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1227A"/>
    <w:multiLevelType w:val="hybridMultilevel"/>
    <w:tmpl w:val="A5F42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617E6"/>
    <w:multiLevelType w:val="hybridMultilevel"/>
    <w:tmpl w:val="ED62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F6CEF"/>
    <w:multiLevelType w:val="hybridMultilevel"/>
    <w:tmpl w:val="21E0DBA0"/>
    <w:lvl w:ilvl="0" w:tplc="3FF06428">
      <w:start w:val="1"/>
      <w:numFmt w:val="bullet"/>
      <w:pStyle w:val="Bulletlevel1"/>
      <w:lvlText w:val=""/>
      <w:lvlJc w:val="left"/>
      <w:pPr>
        <w:ind w:left="1077" w:hanging="360"/>
      </w:pPr>
      <w:rPr>
        <w:rFonts w:ascii="Wingdings" w:hAnsi="Wingdings" w:hint="default"/>
        <w:color w:val="0F7B3F"/>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5C9921EF"/>
    <w:multiLevelType w:val="hybridMultilevel"/>
    <w:tmpl w:val="F64ED7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DCE0112"/>
    <w:multiLevelType w:val="hybridMultilevel"/>
    <w:tmpl w:val="F16A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15157"/>
    <w:multiLevelType w:val="hybridMultilevel"/>
    <w:tmpl w:val="08D05F4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2A174BA"/>
    <w:multiLevelType w:val="hybridMultilevel"/>
    <w:tmpl w:val="62F0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8E6333"/>
    <w:multiLevelType w:val="hybridMultilevel"/>
    <w:tmpl w:val="B29EE784"/>
    <w:lvl w:ilvl="0" w:tplc="274E45EA">
      <w:start w:val="1"/>
      <w:numFmt w:val="bullet"/>
      <w:lvlText w:val=""/>
      <w:lvlJc w:val="left"/>
      <w:pPr>
        <w:ind w:left="360" w:hanging="360"/>
      </w:pPr>
      <w:rPr>
        <w:rFonts w:ascii="Symbol" w:hAnsi="Symbol" w:hint="default"/>
        <w:b/>
        <w:i w:val="0"/>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F77B30"/>
    <w:multiLevelType w:val="hybridMultilevel"/>
    <w:tmpl w:val="7BB6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260887"/>
    <w:multiLevelType w:val="hybridMultilevel"/>
    <w:tmpl w:val="B28C3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957D91"/>
    <w:multiLevelType w:val="hybridMultilevel"/>
    <w:tmpl w:val="D2468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5"/>
  </w:num>
  <w:num w:numId="4">
    <w:abstractNumId w:val="0"/>
  </w:num>
  <w:num w:numId="5">
    <w:abstractNumId w:val="25"/>
  </w:num>
  <w:num w:numId="6">
    <w:abstractNumId w:val="14"/>
  </w:num>
  <w:num w:numId="7">
    <w:abstractNumId w:val="12"/>
  </w:num>
  <w:num w:numId="8">
    <w:abstractNumId w:val="6"/>
  </w:num>
  <w:num w:numId="9">
    <w:abstractNumId w:val="13"/>
  </w:num>
  <w:num w:numId="10">
    <w:abstractNumId w:val="27"/>
  </w:num>
  <w:num w:numId="11">
    <w:abstractNumId w:val="10"/>
  </w:num>
  <w:num w:numId="12">
    <w:abstractNumId w:val="26"/>
  </w:num>
  <w:num w:numId="13">
    <w:abstractNumId w:val="8"/>
  </w:num>
  <w:num w:numId="14">
    <w:abstractNumId w:val="19"/>
  </w:num>
  <w:num w:numId="15">
    <w:abstractNumId w:val="7"/>
  </w:num>
  <w:num w:numId="16">
    <w:abstractNumId w:val="16"/>
  </w:num>
  <w:num w:numId="17">
    <w:abstractNumId w:val="4"/>
  </w:num>
  <w:num w:numId="18">
    <w:abstractNumId w:val="24"/>
  </w:num>
  <w:num w:numId="19">
    <w:abstractNumId w:val="1"/>
  </w:num>
  <w:num w:numId="20">
    <w:abstractNumId w:val="23"/>
  </w:num>
  <w:num w:numId="21">
    <w:abstractNumId w:val="3"/>
  </w:num>
  <w:num w:numId="22">
    <w:abstractNumId w:val="9"/>
  </w:num>
  <w:num w:numId="23">
    <w:abstractNumId w:val="11"/>
  </w:num>
  <w:num w:numId="24">
    <w:abstractNumId w:val="22"/>
  </w:num>
  <w:num w:numId="25">
    <w:abstractNumId w:val="17"/>
  </w:num>
  <w:num w:numId="26">
    <w:abstractNumId w:val="21"/>
  </w:num>
  <w:num w:numId="27">
    <w:abstractNumId w:val="15"/>
  </w:num>
  <w:num w:numId="28">
    <w:abstractNumId w:val="2"/>
  </w:num>
  <w:num w:numId="29">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097">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47"/>
    <w:rsid w:val="000029A8"/>
    <w:rsid w:val="00003B16"/>
    <w:rsid w:val="00005DA3"/>
    <w:rsid w:val="00006764"/>
    <w:rsid w:val="000108CF"/>
    <w:rsid w:val="00011561"/>
    <w:rsid w:val="00011A1E"/>
    <w:rsid w:val="00011A48"/>
    <w:rsid w:val="00014598"/>
    <w:rsid w:val="00014FE0"/>
    <w:rsid w:val="00017FE8"/>
    <w:rsid w:val="000201FD"/>
    <w:rsid w:val="000203F6"/>
    <w:rsid w:val="00020E67"/>
    <w:rsid w:val="00022A5C"/>
    <w:rsid w:val="00023E12"/>
    <w:rsid w:val="00024E5C"/>
    <w:rsid w:val="00025F10"/>
    <w:rsid w:val="0003088F"/>
    <w:rsid w:val="00032024"/>
    <w:rsid w:val="000419DD"/>
    <w:rsid w:val="00041FD0"/>
    <w:rsid w:val="00042211"/>
    <w:rsid w:val="000436F1"/>
    <w:rsid w:val="0005370C"/>
    <w:rsid w:val="000569CB"/>
    <w:rsid w:val="000579B2"/>
    <w:rsid w:val="00061B9E"/>
    <w:rsid w:val="00061BC5"/>
    <w:rsid w:val="00063CE9"/>
    <w:rsid w:val="00063D48"/>
    <w:rsid w:val="00066ADC"/>
    <w:rsid w:val="00071890"/>
    <w:rsid w:val="00071E1A"/>
    <w:rsid w:val="000747E3"/>
    <w:rsid w:val="00074E26"/>
    <w:rsid w:val="00076A79"/>
    <w:rsid w:val="00077061"/>
    <w:rsid w:val="00077579"/>
    <w:rsid w:val="00081A93"/>
    <w:rsid w:val="000827BB"/>
    <w:rsid w:val="00082E4A"/>
    <w:rsid w:val="000839F8"/>
    <w:rsid w:val="00084569"/>
    <w:rsid w:val="00084761"/>
    <w:rsid w:val="000873E5"/>
    <w:rsid w:val="000911C0"/>
    <w:rsid w:val="00094E82"/>
    <w:rsid w:val="00097704"/>
    <w:rsid w:val="000A0093"/>
    <w:rsid w:val="000A021D"/>
    <w:rsid w:val="000A0694"/>
    <w:rsid w:val="000A32AD"/>
    <w:rsid w:val="000A37FA"/>
    <w:rsid w:val="000A3C4F"/>
    <w:rsid w:val="000A4D39"/>
    <w:rsid w:val="000A5BCB"/>
    <w:rsid w:val="000A5BDA"/>
    <w:rsid w:val="000A7175"/>
    <w:rsid w:val="000B52D2"/>
    <w:rsid w:val="000C0083"/>
    <w:rsid w:val="000C01F0"/>
    <w:rsid w:val="000C1D74"/>
    <w:rsid w:val="000C3473"/>
    <w:rsid w:val="000C3930"/>
    <w:rsid w:val="000C3939"/>
    <w:rsid w:val="000C40D4"/>
    <w:rsid w:val="000D0CCE"/>
    <w:rsid w:val="000D1256"/>
    <w:rsid w:val="000D1A29"/>
    <w:rsid w:val="000D2046"/>
    <w:rsid w:val="000D4C79"/>
    <w:rsid w:val="000E4732"/>
    <w:rsid w:val="000E5557"/>
    <w:rsid w:val="000E6BEF"/>
    <w:rsid w:val="000F182F"/>
    <w:rsid w:val="000F358E"/>
    <w:rsid w:val="001029B9"/>
    <w:rsid w:val="00103239"/>
    <w:rsid w:val="001034C5"/>
    <w:rsid w:val="00112485"/>
    <w:rsid w:val="00112A27"/>
    <w:rsid w:val="00112ED3"/>
    <w:rsid w:val="001154FA"/>
    <w:rsid w:val="001200C8"/>
    <w:rsid w:val="00120317"/>
    <w:rsid w:val="001208A4"/>
    <w:rsid w:val="0012188E"/>
    <w:rsid w:val="0012221D"/>
    <w:rsid w:val="00125AD6"/>
    <w:rsid w:val="0013071F"/>
    <w:rsid w:val="001309FC"/>
    <w:rsid w:val="00131588"/>
    <w:rsid w:val="0013341C"/>
    <w:rsid w:val="00135CE9"/>
    <w:rsid w:val="00137F6C"/>
    <w:rsid w:val="001426CD"/>
    <w:rsid w:val="001439DC"/>
    <w:rsid w:val="00144432"/>
    <w:rsid w:val="00150259"/>
    <w:rsid w:val="0015096C"/>
    <w:rsid w:val="001553F5"/>
    <w:rsid w:val="00157333"/>
    <w:rsid w:val="00157B8C"/>
    <w:rsid w:val="001613F1"/>
    <w:rsid w:val="00161A8E"/>
    <w:rsid w:val="00164884"/>
    <w:rsid w:val="00164A2F"/>
    <w:rsid w:val="00171987"/>
    <w:rsid w:val="00171A9F"/>
    <w:rsid w:val="0017223D"/>
    <w:rsid w:val="00174280"/>
    <w:rsid w:val="0018140E"/>
    <w:rsid w:val="00184BB7"/>
    <w:rsid w:val="00185B43"/>
    <w:rsid w:val="001875AD"/>
    <w:rsid w:val="00187890"/>
    <w:rsid w:val="0019054A"/>
    <w:rsid w:val="001906AA"/>
    <w:rsid w:val="00192F7B"/>
    <w:rsid w:val="00193B61"/>
    <w:rsid w:val="00195E8B"/>
    <w:rsid w:val="001A00E9"/>
    <w:rsid w:val="001A116B"/>
    <w:rsid w:val="001A1F13"/>
    <w:rsid w:val="001A2CC5"/>
    <w:rsid w:val="001A380A"/>
    <w:rsid w:val="001A564A"/>
    <w:rsid w:val="001A7DB7"/>
    <w:rsid w:val="001B0174"/>
    <w:rsid w:val="001B0C78"/>
    <w:rsid w:val="001B0D9A"/>
    <w:rsid w:val="001B25F0"/>
    <w:rsid w:val="001B67A2"/>
    <w:rsid w:val="001C13B2"/>
    <w:rsid w:val="001C55AE"/>
    <w:rsid w:val="001D3239"/>
    <w:rsid w:val="001D6566"/>
    <w:rsid w:val="001E29DE"/>
    <w:rsid w:val="001E3D5B"/>
    <w:rsid w:val="001E472B"/>
    <w:rsid w:val="001E797C"/>
    <w:rsid w:val="001F0FC7"/>
    <w:rsid w:val="001F19E2"/>
    <w:rsid w:val="001F1F72"/>
    <w:rsid w:val="001F5244"/>
    <w:rsid w:val="001F55C7"/>
    <w:rsid w:val="001F6F47"/>
    <w:rsid w:val="001F7610"/>
    <w:rsid w:val="002005ED"/>
    <w:rsid w:val="0020140B"/>
    <w:rsid w:val="0020496F"/>
    <w:rsid w:val="00204BE1"/>
    <w:rsid w:val="00205A1C"/>
    <w:rsid w:val="00206522"/>
    <w:rsid w:val="0020659F"/>
    <w:rsid w:val="00207BA0"/>
    <w:rsid w:val="00207E6E"/>
    <w:rsid w:val="002104D9"/>
    <w:rsid w:val="0021235B"/>
    <w:rsid w:val="0021604A"/>
    <w:rsid w:val="00217AB0"/>
    <w:rsid w:val="00221DDF"/>
    <w:rsid w:val="00222A26"/>
    <w:rsid w:val="002244AF"/>
    <w:rsid w:val="0022785D"/>
    <w:rsid w:val="002300CA"/>
    <w:rsid w:val="0023071E"/>
    <w:rsid w:val="002334EC"/>
    <w:rsid w:val="0023430B"/>
    <w:rsid w:val="00234F9C"/>
    <w:rsid w:val="00240182"/>
    <w:rsid w:val="00240BA5"/>
    <w:rsid w:val="00241452"/>
    <w:rsid w:val="0024159B"/>
    <w:rsid w:val="0024377E"/>
    <w:rsid w:val="00246274"/>
    <w:rsid w:val="0024670D"/>
    <w:rsid w:val="00251E62"/>
    <w:rsid w:val="0025470F"/>
    <w:rsid w:val="002547E2"/>
    <w:rsid w:val="00255FC2"/>
    <w:rsid w:val="002578B9"/>
    <w:rsid w:val="00262316"/>
    <w:rsid w:val="002636C5"/>
    <w:rsid w:val="00264280"/>
    <w:rsid w:val="00266C99"/>
    <w:rsid w:val="00267300"/>
    <w:rsid w:val="00271D47"/>
    <w:rsid w:val="00271E7B"/>
    <w:rsid w:val="002729BE"/>
    <w:rsid w:val="002839B2"/>
    <w:rsid w:val="00286E7D"/>
    <w:rsid w:val="00287CDC"/>
    <w:rsid w:val="0029152E"/>
    <w:rsid w:val="00294AEB"/>
    <w:rsid w:val="0029664F"/>
    <w:rsid w:val="002970EC"/>
    <w:rsid w:val="00297DEC"/>
    <w:rsid w:val="002A146D"/>
    <w:rsid w:val="002A38ED"/>
    <w:rsid w:val="002B097D"/>
    <w:rsid w:val="002B1BC8"/>
    <w:rsid w:val="002B2CE0"/>
    <w:rsid w:val="002B539C"/>
    <w:rsid w:val="002B54D9"/>
    <w:rsid w:val="002C0C1F"/>
    <w:rsid w:val="002C391D"/>
    <w:rsid w:val="002C3974"/>
    <w:rsid w:val="002C4EA0"/>
    <w:rsid w:val="002C66B9"/>
    <w:rsid w:val="002D0895"/>
    <w:rsid w:val="002E35EF"/>
    <w:rsid w:val="002E5664"/>
    <w:rsid w:val="002E5D6D"/>
    <w:rsid w:val="002E671D"/>
    <w:rsid w:val="002E7606"/>
    <w:rsid w:val="002E775F"/>
    <w:rsid w:val="002E77E3"/>
    <w:rsid w:val="002F1372"/>
    <w:rsid w:val="002F3FDF"/>
    <w:rsid w:val="002F5819"/>
    <w:rsid w:val="002F5D64"/>
    <w:rsid w:val="002F5E16"/>
    <w:rsid w:val="003056CD"/>
    <w:rsid w:val="0031622D"/>
    <w:rsid w:val="00316FE0"/>
    <w:rsid w:val="00325708"/>
    <w:rsid w:val="00325A87"/>
    <w:rsid w:val="00325CF1"/>
    <w:rsid w:val="00326B7F"/>
    <w:rsid w:val="003310CB"/>
    <w:rsid w:val="00331F80"/>
    <w:rsid w:val="003330D1"/>
    <w:rsid w:val="00340E35"/>
    <w:rsid w:val="00342D4B"/>
    <w:rsid w:val="00343234"/>
    <w:rsid w:val="0034457C"/>
    <w:rsid w:val="00345C03"/>
    <w:rsid w:val="00345FC9"/>
    <w:rsid w:val="003501E8"/>
    <w:rsid w:val="00350CCF"/>
    <w:rsid w:val="003517F2"/>
    <w:rsid w:val="00351E28"/>
    <w:rsid w:val="003521A9"/>
    <w:rsid w:val="00356AFC"/>
    <w:rsid w:val="00361191"/>
    <w:rsid w:val="00362FEF"/>
    <w:rsid w:val="00363871"/>
    <w:rsid w:val="0036420D"/>
    <w:rsid w:val="00372504"/>
    <w:rsid w:val="00373D40"/>
    <w:rsid w:val="00375BFE"/>
    <w:rsid w:val="003765F0"/>
    <w:rsid w:val="0037714C"/>
    <w:rsid w:val="00377B53"/>
    <w:rsid w:val="00377E39"/>
    <w:rsid w:val="00383E6C"/>
    <w:rsid w:val="003848C6"/>
    <w:rsid w:val="0038729C"/>
    <w:rsid w:val="0038730B"/>
    <w:rsid w:val="00394CDA"/>
    <w:rsid w:val="00396F10"/>
    <w:rsid w:val="003975CA"/>
    <w:rsid w:val="00397AD5"/>
    <w:rsid w:val="003A09B9"/>
    <w:rsid w:val="003A09D3"/>
    <w:rsid w:val="003A0E94"/>
    <w:rsid w:val="003A288C"/>
    <w:rsid w:val="003A2E7E"/>
    <w:rsid w:val="003A3528"/>
    <w:rsid w:val="003A3A7A"/>
    <w:rsid w:val="003A48DF"/>
    <w:rsid w:val="003A53AF"/>
    <w:rsid w:val="003A58D9"/>
    <w:rsid w:val="003A5ABF"/>
    <w:rsid w:val="003B07CE"/>
    <w:rsid w:val="003B29FE"/>
    <w:rsid w:val="003B4A44"/>
    <w:rsid w:val="003B5EC0"/>
    <w:rsid w:val="003B623F"/>
    <w:rsid w:val="003C1061"/>
    <w:rsid w:val="003C661F"/>
    <w:rsid w:val="003D0999"/>
    <w:rsid w:val="003D0F66"/>
    <w:rsid w:val="003D2546"/>
    <w:rsid w:val="003D3F04"/>
    <w:rsid w:val="003E072F"/>
    <w:rsid w:val="003E1FD4"/>
    <w:rsid w:val="003E387B"/>
    <w:rsid w:val="003E7078"/>
    <w:rsid w:val="003F0BD1"/>
    <w:rsid w:val="003F26D7"/>
    <w:rsid w:val="003F2B8F"/>
    <w:rsid w:val="003F4D69"/>
    <w:rsid w:val="003F6872"/>
    <w:rsid w:val="003F6D56"/>
    <w:rsid w:val="00400703"/>
    <w:rsid w:val="00400B12"/>
    <w:rsid w:val="004050C6"/>
    <w:rsid w:val="004052B6"/>
    <w:rsid w:val="00405751"/>
    <w:rsid w:val="004104B6"/>
    <w:rsid w:val="00410BBF"/>
    <w:rsid w:val="00411AF7"/>
    <w:rsid w:val="00412CCB"/>
    <w:rsid w:val="00413A4A"/>
    <w:rsid w:val="00413C47"/>
    <w:rsid w:val="004140F2"/>
    <w:rsid w:val="004165FE"/>
    <w:rsid w:val="00420027"/>
    <w:rsid w:val="004207F3"/>
    <w:rsid w:val="00420CEC"/>
    <w:rsid w:val="004229CD"/>
    <w:rsid w:val="00423FFA"/>
    <w:rsid w:val="00424035"/>
    <w:rsid w:val="00427A6D"/>
    <w:rsid w:val="004304CD"/>
    <w:rsid w:val="00432461"/>
    <w:rsid w:val="004329E9"/>
    <w:rsid w:val="00434E09"/>
    <w:rsid w:val="0044119C"/>
    <w:rsid w:val="0044129E"/>
    <w:rsid w:val="00445223"/>
    <w:rsid w:val="00446642"/>
    <w:rsid w:val="00446DAE"/>
    <w:rsid w:val="00450160"/>
    <w:rsid w:val="0045147D"/>
    <w:rsid w:val="00452B6F"/>
    <w:rsid w:val="004544D6"/>
    <w:rsid w:val="0045724F"/>
    <w:rsid w:val="00460A7F"/>
    <w:rsid w:val="00463178"/>
    <w:rsid w:val="00463AAE"/>
    <w:rsid w:val="00463B42"/>
    <w:rsid w:val="00463CD8"/>
    <w:rsid w:val="004666AC"/>
    <w:rsid w:val="0046728D"/>
    <w:rsid w:val="004735BF"/>
    <w:rsid w:val="0047546D"/>
    <w:rsid w:val="00475AE5"/>
    <w:rsid w:val="00476479"/>
    <w:rsid w:val="004809DA"/>
    <w:rsid w:val="004809EC"/>
    <w:rsid w:val="00480F88"/>
    <w:rsid w:val="004821D3"/>
    <w:rsid w:val="0048372F"/>
    <w:rsid w:val="00483B08"/>
    <w:rsid w:val="00483CB8"/>
    <w:rsid w:val="00484DA0"/>
    <w:rsid w:val="00484E46"/>
    <w:rsid w:val="004857FF"/>
    <w:rsid w:val="0048763B"/>
    <w:rsid w:val="00490551"/>
    <w:rsid w:val="00490627"/>
    <w:rsid w:val="004910D7"/>
    <w:rsid w:val="004925D7"/>
    <w:rsid w:val="0049280F"/>
    <w:rsid w:val="0049297D"/>
    <w:rsid w:val="00492FAC"/>
    <w:rsid w:val="00495B47"/>
    <w:rsid w:val="00496FF5"/>
    <w:rsid w:val="004A047E"/>
    <w:rsid w:val="004A0482"/>
    <w:rsid w:val="004A0FE7"/>
    <w:rsid w:val="004A3DB2"/>
    <w:rsid w:val="004A4873"/>
    <w:rsid w:val="004A49DB"/>
    <w:rsid w:val="004B1002"/>
    <w:rsid w:val="004B1FFC"/>
    <w:rsid w:val="004B2580"/>
    <w:rsid w:val="004B66BE"/>
    <w:rsid w:val="004B78D9"/>
    <w:rsid w:val="004C0AA8"/>
    <w:rsid w:val="004C198E"/>
    <w:rsid w:val="004C1FA1"/>
    <w:rsid w:val="004C66FA"/>
    <w:rsid w:val="004C7C07"/>
    <w:rsid w:val="004D18CC"/>
    <w:rsid w:val="004D5766"/>
    <w:rsid w:val="004E0603"/>
    <w:rsid w:val="004E1049"/>
    <w:rsid w:val="004E34B0"/>
    <w:rsid w:val="004E5FE2"/>
    <w:rsid w:val="004E616F"/>
    <w:rsid w:val="004E69D3"/>
    <w:rsid w:val="004F5299"/>
    <w:rsid w:val="004F635B"/>
    <w:rsid w:val="004F6B3B"/>
    <w:rsid w:val="004F73BB"/>
    <w:rsid w:val="004F7646"/>
    <w:rsid w:val="005014EA"/>
    <w:rsid w:val="00503142"/>
    <w:rsid w:val="00503FF6"/>
    <w:rsid w:val="005040B6"/>
    <w:rsid w:val="00506D4D"/>
    <w:rsid w:val="00507A36"/>
    <w:rsid w:val="00507CAD"/>
    <w:rsid w:val="00512D0E"/>
    <w:rsid w:val="00521530"/>
    <w:rsid w:val="0052273D"/>
    <w:rsid w:val="00524B76"/>
    <w:rsid w:val="00524F54"/>
    <w:rsid w:val="00526A16"/>
    <w:rsid w:val="00534217"/>
    <w:rsid w:val="00536339"/>
    <w:rsid w:val="00542E99"/>
    <w:rsid w:val="00544249"/>
    <w:rsid w:val="005543DB"/>
    <w:rsid w:val="00555537"/>
    <w:rsid w:val="00556437"/>
    <w:rsid w:val="00557071"/>
    <w:rsid w:val="005601C6"/>
    <w:rsid w:val="00563D07"/>
    <w:rsid w:val="00563E24"/>
    <w:rsid w:val="00564225"/>
    <w:rsid w:val="00565C6F"/>
    <w:rsid w:val="00566F2D"/>
    <w:rsid w:val="00575703"/>
    <w:rsid w:val="00576837"/>
    <w:rsid w:val="00591F27"/>
    <w:rsid w:val="00597188"/>
    <w:rsid w:val="00597EBE"/>
    <w:rsid w:val="005A322C"/>
    <w:rsid w:val="005A3E43"/>
    <w:rsid w:val="005A6C9A"/>
    <w:rsid w:val="005A72CB"/>
    <w:rsid w:val="005B01B6"/>
    <w:rsid w:val="005B0509"/>
    <w:rsid w:val="005B2D40"/>
    <w:rsid w:val="005B30EF"/>
    <w:rsid w:val="005B4B22"/>
    <w:rsid w:val="005B6B55"/>
    <w:rsid w:val="005B6B84"/>
    <w:rsid w:val="005C27B3"/>
    <w:rsid w:val="005C2F4E"/>
    <w:rsid w:val="005C3164"/>
    <w:rsid w:val="005C7AD1"/>
    <w:rsid w:val="005D005B"/>
    <w:rsid w:val="005D458F"/>
    <w:rsid w:val="005D4FDF"/>
    <w:rsid w:val="005D5803"/>
    <w:rsid w:val="005D60F1"/>
    <w:rsid w:val="005D7158"/>
    <w:rsid w:val="005E2521"/>
    <w:rsid w:val="005E40D3"/>
    <w:rsid w:val="005E5142"/>
    <w:rsid w:val="005E62F0"/>
    <w:rsid w:val="005E6571"/>
    <w:rsid w:val="005F19FC"/>
    <w:rsid w:val="005F46BE"/>
    <w:rsid w:val="005F53CC"/>
    <w:rsid w:val="005F6ABA"/>
    <w:rsid w:val="0060379E"/>
    <w:rsid w:val="006052A3"/>
    <w:rsid w:val="0060598C"/>
    <w:rsid w:val="00605C07"/>
    <w:rsid w:val="006064C4"/>
    <w:rsid w:val="006076DE"/>
    <w:rsid w:val="00607F77"/>
    <w:rsid w:val="00611703"/>
    <w:rsid w:val="006119A2"/>
    <w:rsid w:val="00611E65"/>
    <w:rsid w:val="00611F67"/>
    <w:rsid w:val="006165DF"/>
    <w:rsid w:val="00617847"/>
    <w:rsid w:val="00623B79"/>
    <w:rsid w:val="006243FD"/>
    <w:rsid w:val="00625340"/>
    <w:rsid w:val="00626AC2"/>
    <w:rsid w:val="00627596"/>
    <w:rsid w:val="00630A61"/>
    <w:rsid w:val="006314EF"/>
    <w:rsid w:val="00633D22"/>
    <w:rsid w:val="00634E93"/>
    <w:rsid w:val="00634F0D"/>
    <w:rsid w:val="00641D1B"/>
    <w:rsid w:val="0064373B"/>
    <w:rsid w:val="00644832"/>
    <w:rsid w:val="00644CF4"/>
    <w:rsid w:val="006461A0"/>
    <w:rsid w:val="0064724F"/>
    <w:rsid w:val="006472C9"/>
    <w:rsid w:val="00647A56"/>
    <w:rsid w:val="00653004"/>
    <w:rsid w:val="006536DC"/>
    <w:rsid w:val="00654E2F"/>
    <w:rsid w:val="0065550C"/>
    <w:rsid w:val="00661BE4"/>
    <w:rsid w:val="00662C91"/>
    <w:rsid w:val="006632FE"/>
    <w:rsid w:val="0066369C"/>
    <w:rsid w:val="0066647D"/>
    <w:rsid w:val="006664EB"/>
    <w:rsid w:val="00667B56"/>
    <w:rsid w:val="00672971"/>
    <w:rsid w:val="006739EA"/>
    <w:rsid w:val="006741AC"/>
    <w:rsid w:val="0067541C"/>
    <w:rsid w:val="006765F5"/>
    <w:rsid w:val="0068001F"/>
    <w:rsid w:val="00684EE9"/>
    <w:rsid w:val="00686CA7"/>
    <w:rsid w:val="00690158"/>
    <w:rsid w:val="00690A15"/>
    <w:rsid w:val="00693B24"/>
    <w:rsid w:val="00695432"/>
    <w:rsid w:val="00696141"/>
    <w:rsid w:val="006965BB"/>
    <w:rsid w:val="0069759B"/>
    <w:rsid w:val="006A0F2A"/>
    <w:rsid w:val="006A111F"/>
    <w:rsid w:val="006A2412"/>
    <w:rsid w:val="006A31D8"/>
    <w:rsid w:val="006A5893"/>
    <w:rsid w:val="006B2AED"/>
    <w:rsid w:val="006B3F78"/>
    <w:rsid w:val="006B440D"/>
    <w:rsid w:val="006B49E5"/>
    <w:rsid w:val="006B597F"/>
    <w:rsid w:val="006C09DA"/>
    <w:rsid w:val="006C2A09"/>
    <w:rsid w:val="006C2F69"/>
    <w:rsid w:val="006C3D13"/>
    <w:rsid w:val="006C692F"/>
    <w:rsid w:val="006D29F4"/>
    <w:rsid w:val="006D671E"/>
    <w:rsid w:val="006D6949"/>
    <w:rsid w:val="006D7EF5"/>
    <w:rsid w:val="006E27CA"/>
    <w:rsid w:val="006E2BAC"/>
    <w:rsid w:val="006E3497"/>
    <w:rsid w:val="006E390C"/>
    <w:rsid w:val="006E6729"/>
    <w:rsid w:val="006E6FB3"/>
    <w:rsid w:val="006F15E4"/>
    <w:rsid w:val="006F19C9"/>
    <w:rsid w:val="006F63BA"/>
    <w:rsid w:val="00700BFC"/>
    <w:rsid w:val="00700EDD"/>
    <w:rsid w:val="0070176C"/>
    <w:rsid w:val="00702EB2"/>
    <w:rsid w:val="00704F0A"/>
    <w:rsid w:val="00706FC8"/>
    <w:rsid w:val="00707575"/>
    <w:rsid w:val="00707AC2"/>
    <w:rsid w:val="00707DCF"/>
    <w:rsid w:val="00710C91"/>
    <w:rsid w:val="00711744"/>
    <w:rsid w:val="007140E4"/>
    <w:rsid w:val="00716A10"/>
    <w:rsid w:val="007217B7"/>
    <w:rsid w:val="007217E4"/>
    <w:rsid w:val="007229B5"/>
    <w:rsid w:val="007234EF"/>
    <w:rsid w:val="007241B7"/>
    <w:rsid w:val="00727DB1"/>
    <w:rsid w:val="00730BEA"/>
    <w:rsid w:val="007337A3"/>
    <w:rsid w:val="00735EDD"/>
    <w:rsid w:val="0073632B"/>
    <w:rsid w:val="007366F3"/>
    <w:rsid w:val="0074281C"/>
    <w:rsid w:val="0074310C"/>
    <w:rsid w:val="0074369D"/>
    <w:rsid w:val="00746F88"/>
    <w:rsid w:val="00753F16"/>
    <w:rsid w:val="007564D0"/>
    <w:rsid w:val="007569E6"/>
    <w:rsid w:val="00760A46"/>
    <w:rsid w:val="00760D63"/>
    <w:rsid w:val="00761FF1"/>
    <w:rsid w:val="00762C82"/>
    <w:rsid w:val="007649C6"/>
    <w:rsid w:val="00764A3D"/>
    <w:rsid w:val="00766A4C"/>
    <w:rsid w:val="00770B4C"/>
    <w:rsid w:val="007732A0"/>
    <w:rsid w:val="00773C41"/>
    <w:rsid w:val="007747BB"/>
    <w:rsid w:val="00775234"/>
    <w:rsid w:val="0077778B"/>
    <w:rsid w:val="007800F0"/>
    <w:rsid w:val="00780CC9"/>
    <w:rsid w:val="00780D85"/>
    <w:rsid w:val="00781A84"/>
    <w:rsid w:val="00785B59"/>
    <w:rsid w:val="007866A3"/>
    <w:rsid w:val="0078795C"/>
    <w:rsid w:val="007900BE"/>
    <w:rsid w:val="00792F48"/>
    <w:rsid w:val="007A7488"/>
    <w:rsid w:val="007B06BE"/>
    <w:rsid w:val="007B0859"/>
    <w:rsid w:val="007B2308"/>
    <w:rsid w:val="007B306D"/>
    <w:rsid w:val="007B3E11"/>
    <w:rsid w:val="007B4B0F"/>
    <w:rsid w:val="007B5BF2"/>
    <w:rsid w:val="007B6878"/>
    <w:rsid w:val="007C07A6"/>
    <w:rsid w:val="007C2C79"/>
    <w:rsid w:val="007C3B28"/>
    <w:rsid w:val="007C52CB"/>
    <w:rsid w:val="007C5FA2"/>
    <w:rsid w:val="007C7A69"/>
    <w:rsid w:val="007D0B3C"/>
    <w:rsid w:val="007D2F58"/>
    <w:rsid w:val="007D3954"/>
    <w:rsid w:val="007D4ACD"/>
    <w:rsid w:val="007D4CE7"/>
    <w:rsid w:val="007D6E16"/>
    <w:rsid w:val="007D6F86"/>
    <w:rsid w:val="007D6FAB"/>
    <w:rsid w:val="007E5B70"/>
    <w:rsid w:val="007F4F9B"/>
    <w:rsid w:val="007F543E"/>
    <w:rsid w:val="007F69D5"/>
    <w:rsid w:val="007F706C"/>
    <w:rsid w:val="007F7291"/>
    <w:rsid w:val="00802161"/>
    <w:rsid w:val="008124DF"/>
    <w:rsid w:val="008129F6"/>
    <w:rsid w:val="00824714"/>
    <w:rsid w:val="008258EF"/>
    <w:rsid w:val="00827434"/>
    <w:rsid w:val="00827E02"/>
    <w:rsid w:val="00831887"/>
    <w:rsid w:val="00831DD1"/>
    <w:rsid w:val="00832021"/>
    <w:rsid w:val="00836478"/>
    <w:rsid w:val="00841D07"/>
    <w:rsid w:val="0084762D"/>
    <w:rsid w:val="00851C1A"/>
    <w:rsid w:val="00855E23"/>
    <w:rsid w:val="0086063F"/>
    <w:rsid w:val="0086114A"/>
    <w:rsid w:val="008655F4"/>
    <w:rsid w:val="00871E49"/>
    <w:rsid w:val="008725D4"/>
    <w:rsid w:val="00872DC4"/>
    <w:rsid w:val="008764A0"/>
    <w:rsid w:val="00876674"/>
    <w:rsid w:val="00877A22"/>
    <w:rsid w:val="00877B9F"/>
    <w:rsid w:val="00882512"/>
    <w:rsid w:val="00882652"/>
    <w:rsid w:val="008845EB"/>
    <w:rsid w:val="00884CC2"/>
    <w:rsid w:val="008862C5"/>
    <w:rsid w:val="008900AD"/>
    <w:rsid w:val="00890389"/>
    <w:rsid w:val="00892898"/>
    <w:rsid w:val="00895751"/>
    <w:rsid w:val="008A48E0"/>
    <w:rsid w:val="008A4F7C"/>
    <w:rsid w:val="008A5F54"/>
    <w:rsid w:val="008B023C"/>
    <w:rsid w:val="008B055E"/>
    <w:rsid w:val="008B1E1B"/>
    <w:rsid w:val="008B25AD"/>
    <w:rsid w:val="008B4529"/>
    <w:rsid w:val="008B6EBC"/>
    <w:rsid w:val="008C08CB"/>
    <w:rsid w:val="008C3A8A"/>
    <w:rsid w:val="008C5152"/>
    <w:rsid w:val="008C53A9"/>
    <w:rsid w:val="008C5AC7"/>
    <w:rsid w:val="008C62A1"/>
    <w:rsid w:val="008C6B50"/>
    <w:rsid w:val="008C74DC"/>
    <w:rsid w:val="008C7F7E"/>
    <w:rsid w:val="008D06D8"/>
    <w:rsid w:val="008D4EF5"/>
    <w:rsid w:val="008E0023"/>
    <w:rsid w:val="008E017B"/>
    <w:rsid w:val="008E65A3"/>
    <w:rsid w:val="008F1375"/>
    <w:rsid w:val="008F3756"/>
    <w:rsid w:val="008F67C1"/>
    <w:rsid w:val="009000D5"/>
    <w:rsid w:val="00902FBB"/>
    <w:rsid w:val="00904B52"/>
    <w:rsid w:val="00905E84"/>
    <w:rsid w:val="0090605B"/>
    <w:rsid w:val="00906C43"/>
    <w:rsid w:val="00907237"/>
    <w:rsid w:val="00910529"/>
    <w:rsid w:val="00911A5F"/>
    <w:rsid w:val="009124D0"/>
    <w:rsid w:val="00913A56"/>
    <w:rsid w:val="00917042"/>
    <w:rsid w:val="009177B9"/>
    <w:rsid w:val="009219CF"/>
    <w:rsid w:val="0092374F"/>
    <w:rsid w:val="009250A2"/>
    <w:rsid w:val="00925115"/>
    <w:rsid w:val="009260E2"/>
    <w:rsid w:val="00927B51"/>
    <w:rsid w:val="0093062E"/>
    <w:rsid w:val="00933C49"/>
    <w:rsid w:val="00935CFF"/>
    <w:rsid w:val="009453DA"/>
    <w:rsid w:val="00945B2E"/>
    <w:rsid w:val="009477F0"/>
    <w:rsid w:val="00955DC6"/>
    <w:rsid w:val="0096119C"/>
    <w:rsid w:val="009620AB"/>
    <w:rsid w:val="009629AD"/>
    <w:rsid w:val="009640FD"/>
    <w:rsid w:val="009654EE"/>
    <w:rsid w:val="00970425"/>
    <w:rsid w:val="0097231F"/>
    <w:rsid w:val="00973C70"/>
    <w:rsid w:val="0097430B"/>
    <w:rsid w:val="00975112"/>
    <w:rsid w:val="0097751D"/>
    <w:rsid w:val="0098113D"/>
    <w:rsid w:val="00982BE3"/>
    <w:rsid w:val="00982FAC"/>
    <w:rsid w:val="009833B8"/>
    <w:rsid w:val="00983F63"/>
    <w:rsid w:val="00984E98"/>
    <w:rsid w:val="009916D3"/>
    <w:rsid w:val="0099767B"/>
    <w:rsid w:val="009A264E"/>
    <w:rsid w:val="009A31B9"/>
    <w:rsid w:val="009A6689"/>
    <w:rsid w:val="009B02CB"/>
    <w:rsid w:val="009B1F12"/>
    <w:rsid w:val="009B2A95"/>
    <w:rsid w:val="009B40D6"/>
    <w:rsid w:val="009C1062"/>
    <w:rsid w:val="009C26B8"/>
    <w:rsid w:val="009D1CE8"/>
    <w:rsid w:val="009D4762"/>
    <w:rsid w:val="009E288D"/>
    <w:rsid w:val="009E3266"/>
    <w:rsid w:val="009E6F87"/>
    <w:rsid w:val="009F118D"/>
    <w:rsid w:val="009F16FC"/>
    <w:rsid w:val="009F1AF5"/>
    <w:rsid w:val="009F318D"/>
    <w:rsid w:val="009F480A"/>
    <w:rsid w:val="00A0029B"/>
    <w:rsid w:val="00A02022"/>
    <w:rsid w:val="00A021AF"/>
    <w:rsid w:val="00A04B3F"/>
    <w:rsid w:val="00A0657B"/>
    <w:rsid w:val="00A1025E"/>
    <w:rsid w:val="00A1458A"/>
    <w:rsid w:val="00A14607"/>
    <w:rsid w:val="00A1653C"/>
    <w:rsid w:val="00A167BE"/>
    <w:rsid w:val="00A22A46"/>
    <w:rsid w:val="00A22ABA"/>
    <w:rsid w:val="00A23086"/>
    <w:rsid w:val="00A2352D"/>
    <w:rsid w:val="00A269EA"/>
    <w:rsid w:val="00A27069"/>
    <w:rsid w:val="00A30AE2"/>
    <w:rsid w:val="00A3139C"/>
    <w:rsid w:val="00A31B35"/>
    <w:rsid w:val="00A35357"/>
    <w:rsid w:val="00A40F9D"/>
    <w:rsid w:val="00A42477"/>
    <w:rsid w:val="00A42D7A"/>
    <w:rsid w:val="00A47524"/>
    <w:rsid w:val="00A51242"/>
    <w:rsid w:val="00A51E00"/>
    <w:rsid w:val="00A54209"/>
    <w:rsid w:val="00A54C94"/>
    <w:rsid w:val="00A56F77"/>
    <w:rsid w:val="00A56FF6"/>
    <w:rsid w:val="00A632D8"/>
    <w:rsid w:val="00A663B2"/>
    <w:rsid w:val="00A715E1"/>
    <w:rsid w:val="00A72716"/>
    <w:rsid w:val="00A73FB6"/>
    <w:rsid w:val="00A74660"/>
    <w:rsid w:val="00A762D9"/>
    <w:rsid w:val="00A76955"/>
    <w:rsid w:val="00A77731"/>
    <w:rsid w:val="00A77E89"/>
    <w:rsid w:val="00A802D3"/>
    <w:rsid w:val="00A81605"/>
    <w:rsid w:val="00A82515"/>
    <w:rsid w:val="00A8613C"/>
    <w:rsid w:val="00A90B52"/>
    <w:rsid w:val="00A934C8"/>
    <w:rsid w:val="00A934FB"/>
    <w:rsid w:val="00A97EA8"/>
    <w:rsid w:val="00AA0668"/>
    <w:rsid w:val="00AA1A79"/>
    <w:rsid w:val="00AA1CAF"/>
    <w:rsid w:val="00AA25E6"/>
    <w:rsid w:val="00AA6D23"/>
    <w:rsid w:val="00AB0597"/>
    <w:rsid w:val="00AB07F7"/>
    <w:rsid w:val="00AB1238"/>
    <w:rsid w:val="00AB13D2"/>
    <w:rsid w:val="00AB1B64"/>
    <w:rsid w:val="00AB369F"/>
    <w:rsid w:val="00AB4D96"/>
    <w:rsid w:val="00AB52FC"/>
    <w:rsid w:val="00AB64BF"/>
    <w:rsid w:val="00AC2C38"/>
    <w:rsid w:val="00AC3315"/>
    <w:rsid w:val="00AD16CB"/>
    <w:rsid w:val="00AD2369"/>
    <w:rsid w:val="00AD29B9"/>
    <w:rsid w:val="00AE0D89"/>
    <w:rsid w:val="00AE7787"/>
    <w:rsid w:val="00AF0879"/>
    <w:rsid w:val="00AF0E90"/>
    <w:rsid w:val="00AF18CD"/>
    <w:rsid w:val="00AF2189"/>
    <w:rsid w:val="00AF29F6"/>
    <w:rsid w:val="00AF5B9D"/>
    <w:rsid w:val="00AF7EA1"/>
    <w:rsid w:val="00B049BD"/>
    <w:rsid w:val="00B04E2B"/>
    <w:rsid w:val="00B10925"/>
    <w:rsid w:val="00B14EF3"/>
    <w:rsid w:val="00B1517A"/>
    <w:rsid w:val="00B15CFD"/>
    <w:rsid w:val="00B20591"/>
    <w:rsid w:val="00B2214E"/>
    <w:rsid w:val="00B22B4B"/>
    <w:rsid w:val="00B24777"/>
    <w:rsid w:val="00B25323"/>
    <w:rsid w:val="00B264F8"/>
    <w:rsid w:val="00B26D1C"/>
    <w:rsid w:val="00B27CB4"/>
    <w:rsid w:val="00B27FEE"/>
    <w:rsid w:val="00B3128F"/>
    <w:rsid w:val="00B33826"/>
    <w:rsid w:val="00B3407B"/>
    <w:rsid w:val="00B371EA"/>
    <w:rsid w:val="00B42642"/>
    <w:rsid w:val="00B4327A"/>
    <w:rsid w:val="00B44874"/>
    <w:rsid w:val="00B479AC"/>
    <w:rsid w:val="00B51E60"/>
    <w:rsid w:val="00B55EA4"/>
    <w:rsid w:val="00B564E7"/>
    <w:rsid w:val="00B5657F"/>
    <w:rsid w:val="00B579AF"/>
    <w:rsid w:val="00B61F7C"/>
    <w:rsid w:val="00B62631"/>
    <w:rsid w:val="00B63146"/>
    <w:rsid w:val="00B669C1"/>
    <w:rsid w:val="00B67600"/>
    <w:rsid w:val="00B7565D"/>
    <w:rsid w:val="00B7568C"/>
    <w:rsid w:val="00B82A89"/>
    <w:rsid w:val="00B834D5"/>
    <w:rsid w:val="00B83C84"/>
    <w:rsid w:val="00B85480"/>
    <w:rsid w:val="00B86359"/>
    <w:rsid w:val="00B87739"/>
    <w:rsid w:val="00B90302"/>
    <w:rsid w:val="00B92D23"/>
    <w:rsid w:val="00B934C3"/>
    <w:rsid w:val="00B938CD"/>
    <w:rsid w:val="00B95055"/>
    <w:rsid w:val="00B9564F"/>
    <w:rsid w:val="00B964B3"/>
    <w:rsid w:val="00BA0B3F"/>
    <w:rsid w:val="00BA164F"/>
    <w:rsid w:val="00BA5015"/>
    <w:rsid w:val="00BA64C8"/>
    <w:rsid w:val="00BB4233"/>
    <w:rsid w:val="00BB6824"/>
    <w:rsid w:val="00BC0907"/>
    <w:rsid w:val="00BC22AA"/>
    <w:rsid w:val="00BC2B7F"/>
    <w:rsid w:val="00BC47E6"/>
    <w:rsid w:val="00BC6A2A"/>
    <w:rsid w:val="00BD14B2"/>
    <w:rsid w:val="00BD579C"/>
    <w:rsid w:val="00BD5A1A"/>
    <w:rsid w:val="00BD5FA4"/>
    <w:rsid w:val="00BD6286"/>
    <w:rsid w:val="00BD7DC7"/>
    <w:rsid w:val="00BE0B81"/>
    <w:rsid w:val="00BE1ECF"/>
    <w:rsid w:val="00BE3611"/>
    <w:rsid w:val="00BE6EA8"/>
    <w:rsid w:val="00BF2495"/>
    <w:rsid w:val="00BF3F54"/>
    <w:rsid w:val="00BF46B6"/>
    <w:rsid w:val="00BF48A7"/>
    <w:rsid w:val="00BF60A8"/>
    <w:rsid w:val="00C03E6F"/>
    <w:rsid w:val="00C040AA"/>
    <w:rsid w:val="00C04ABA"/>
    <w:rsid w:val="00C051B9"/>
    <w:rsid w:val="00C0709C"/>
    <w:rsid w:val="00C07848"/>
    <w:rsid w:val="00C1001A"/>
    <w:rsid w:val="00C118F6"/>
    <w:rsid w:val="00C20EAA"/>
    <w:rsid w:val="00C219D4"/>
    <w:rsid w:val="00C21DAD"/>
    <w:rsid w:val="00C229A7"/>
    <w:rsid w:val="00C23076"/>
    <w:rsid w:val="00C25108"/>
    <w:rsid w:val="00C273D3"/>
    <w:rsid w:val="00C27767"/>
    <w:rsid w:val="00C31B1B"/>
    <w:rsid w:val="00C327E0"/>
    <w:rsid w:val="00C32879"/>
    <w:rsid w:val="00C357C6"/>
    <w:rsid w:val="00C36AFF"/>
    <w:rsid w:val="00C40F7C"/>
    <w:rsid w:val="00C413D8"/>
    <w:rsid w:val="00C440BD"/>
    <w:rsid w:val="00C4486E"/>
    <w:rsid w:val="00C47A66"/>
    <w:rsid w:val="00C51021"/>
    <w:rsid w:val="00C5596C"/>
    <w:rsid w:val="00C56529"/>
    <w:rsid w:val="00C62509"/>
    <w:rsid w:val="00C631AC"/>
    <w:rsid w:val="00C70DD6"/>
    <w:rsid w:val="00C715BF"/>
    <w:rsid w:val="00C71A3F"/>
    <w:rsid w:val="00C7343D"/>
    <w:rsid w:val="00C739C6"/>
    <w:rsid w:val="00C75FB5"/>
    <w:rsid w:val="00C77EBA"/>
    <w:rsid w:val="00C8641B"/>
    <w:rsid w:val="00C91A8B"/>
    <w:rsid w:val="00C95733"/>
    <w:rsid w:val="00C9598F"/>
    <w:rsid w:val="00C95E17"/>
    <w:rsid w:val="00CA3B57"/>
    <w:rsid w:val="00CA3DD2"/>
    <w:rsid w:val="00CA624E"/>
    <w:rsid w:val="00CA66A0"/>
    <w:rsid w:val="00CA7139"/>
    <w:rsid w:val="00CA7B02"/>
    <w:rsid w:val="00CB2888"/>
    <w:rsid w:val="00CB7BFF"/>
    <w:rsid w:val="00CC0F3C"/>
    <w:rsid w:val="00CC1F19"/>
    <w:rsid w:val="00CC2711"/>
    <w:rsid w:val="00CC4EFE"/>
    <w:rsid w:val="00CC7901"/>
    <w:rsid w:val="00CD0B20"/>
    <w:rsid w:val="00CD161F"/>
    <w:rsid w:val="00CD1DFF"/>
    <w:rsid w:val="00CD361E"/>
    <w:rsid w:val="00CD3F45"/>
    <w:rsid w:val="00CD4CEE"/>
    <w:rsid w:val="00CD579B"/>
    <w:rsid w:val="00CD5D34"/>
    <w:rsid w:val="00CD769B"/>
    <w:rsid w:val="00CE1528"/>
    <w:rsid w:val="00CE446F"/>
    <w:rsid w:val="00CE6C9C"/>
    <w:rsid w:val="00CF08E3"/>
    <w:rsid w:val="00CF251C"/>
    <w:rsid w:val="00CF26F5"/>
    <w:rsid w:val="00CF2C08"/>
    <w:rsid w:val="00CF501A"/>
    <w:rsid w:val="00CF6868"/>
    <w:rsid w:val="00D00639"/>
    <w:rsid w:val="00D012D3"/>
    <w:rsid w:val="00D021DB"/>
    <w:rsid w:val="00D04A97"/>
    <w:rsid w:val="00D05625"/>
    <w:rsid w:val="00D06F1F"/>
    <w:rsid w:val="00D136F1"/>
    <w:rsid w:val="00D1391B"/>
    <w:rsid w:val="00D14BE5"/>
    <w:rsid w:val="00D1572A"/>
    <w:rsid w:val="00D15E4E"/>
    <w:rsid w:val="00D17470"/>
    <w:rsid w:val="00D21DF7"/>
    <w:rsid w:val="00D223D8"/>
    <w:rsid w:val="00D26FA3"/>
    <w:rsid w:val="00D302EE"/>
    <w:rsid w:val="00D31CE5"/>
    <w:rsid w:val="00D322B2"/>
    <w:rsid w:val="00D439EE"/>
    <w:rsid w:val="00D43C9F"/>
    <w:rsid w:val="00D555F0"/>
    <w:rsid w:val="00D55B0C"/>
    <w:rsid w:val="00D6067B"/>
    <w:rsid w:val="00D62482"/>
    <w:rsid w:val="00D63CAA"/>
    <w:rsid w:val="00D66C47"/>
    <w:rsid w:val="00D67B41"/>
    <w:rsid w:val="00D67D4A"/>
    <w:rsid w:val="00D703F0"/>
    <w:rsid w:val="00D71313"/>
    <w:rsid w:val="00D741E6"/>
    <w:rsid w:val="00D82FFD"/>
    <w:rsid w:val="00D86146"/>
    <w:rsid w:val="00D8658F"/>
    <w:rsid w:val="00D96F82"/>
    <w:rsid w:val="00DA3524"/>
    <w:rsid w:val="00DA3626"/>
    <w:rsid w:val="00DA6D92"/>
    <w:rsid w:val="00DA71E3"/>
    <w:rsid w:val="00DB409B"/>
    <w:rsid w:val="00DB48D6"/>
    <w:rsid w:val="00DB4F86"/>
    <w:rsid w:val="00DB5A95"/>
    <w:rsid w:val="00DB79DA"/>
    <w:rsid w:val="00DC025A"/>
    <w:rsid w:val="00DC0334"/>
    <w:rsid w:val="00DC156F"/>
    <w:rsid w:val="00DC1AFC"/>
    <w:rsid w:val="00DC3C31"/>
    <w:rsid w:val="00DD0D8A"/>
    <w:rsid w:val="00DD61AA"/>
    <w:rsid w:val="00DE08EE"/>
    <w:rsid w:val="00DE0CA1"/>
    <w:rsid w:val="00DE1489"/>
    <w:rsid w:val="00DE18D9"/>
    <w:rsid w:val="00DE1FAC"/>
    <w:rsid w:val="00DE2A8D"/>
    <w:rsid w:val="00DE3870"/>
    <w:rsid w:val="00DE3923"/>
    <w:rsid w:val="00DF04C1"/>
    <w:rsid w:val="00DF07C1"/>
    <w:rsid w:val="00DF096E"/>
    <w:rsid w:val="00DF4599"/>
    <w:rsid w:val="00E00C8D"/>
    <w:rsid w:val="00E00F20"/>
    <w:rsid w:val="00E040F9"/>
    <w:rsid w:val="00E05799"/>
    <w:rsid w:val="00E0616C"/>
    <w:rsid w:val="00E1297B"/>
    <w:rsid w:val="00E12CED"/>
    <w:rsid w:val="00E13C83"/>
    <w:rsid w:val="00E13FD1"/>
    <w:rsid w:val="00E14ABA"/>
    <w:rsid w:val="00E1531A"/>
    <w:rsid w:val="00E1542D"/>
    <w:rsid w:val="00E2333B"/>
    <w:rsid w:val="00E238D9"/>
    <w:rsid w:val="00E23DC7"/>
    <w:rsid w:val="00E253BA"/>
    <w:rsid w:val="00E2615F"/>
    <w:rsid w:val="00E27025"/>
    <w:rsid w:val="00E27B72"/>
    <w:rsid w:val="00E30A67"/>
    <w:rsid w:val="00E31D4F"/>
    <w:rsid w:val="00E32DFC"/>
    <w:rsid w:val="00E3718B"/>
    <w:rsid w:val="00E3782C"/>
    <w:rsid w:val="00E378D5"/>
    <w:rsid w:val="00E40D3C"/>
    <w:rsid w:val="00E41E2C"/>
    <w:rsid w:val="00E42B3C"/>
    <w:rsid w:val="00E43335"/>
    <w:rsid w:val="00E43740"/>
    <w:rsid w:val="00E4774B"/>
    <w:rsid w:val="00E5047E"/>
    <w:rsid w:val="00E50495"/>
    <w:rsid w:val="00E51BB8"/>
    <w:rsid w:val="00E52148"/>
    <w:rsid w:val="00E521E1"/>
    <w:rsid w:val="00E54024"/>
    <w:rsid w:val="00E54E32"/>
    <w:rsid w:val="00E564CA"/>
    <w:rsid w:val="00E6241E"/>
    <w:rsid w:val="00E6328B"/>
    <w:rsid w:val="00E65788"/>
    <w:rsid w:val="00E67ECC"/>
    <w:rsid w:val="00E70A5B"/>
    <w:rsid w:val="00E717D3"/>
    <w:rsid w:val="00E73270"/>
    <w:rsid w:val="00E73487"/>
    <w:rsid w:val="00E75305"/>
    <w:rsid w:val="00E756BA"/>
    <w:rsid w:val="00E76E08"/>
    <w:rsid w:val="00E809C5"/>
    <w:rsid w:val="00E80F93"/>
    <w:rsid w:val="00E835F6"/>
    <w:rsid w:val="00E83BA5"/>
    <w:rsid w:val="00E840A3"/>
    <w:rsid w:val="00E864A3"/>
    <w:rsid w:val="00E930F7"/>
    <w:rsid w:val="00EA0105"/>
    <w:rsid w:val="00EA18C6"/>
    <w:rsid w:val="00EA5565"/>
    <w:rsid w:val="00EA796E"/>
    <w:rsid w:val="00EB0D34"/>
    <w:rsid w:val="00EB593B"/>
    <w:rsid w:val="00EC03B8"/>
    <w:rsid w:val="00EC239A"/>
    <w:rsid w:val="00EC4254"/>
    <w:rsid w:val="00EC4622"/>
    <w:rsid w:val="00EC56B2"/>
    <w:rsid w:val="00EC62A1"/>
    <w:rsid w:val="00EC6321"/>
    <w:rsid w:val="00ED007D"/>
    <w:rsid w:val="00ED009A"/>
    <w:rsid w:val="00ED0CF5"/>
    <w:rsid w:val="00ED4C64"/>
    <w:rsid w:val="00ED7208"/>
    <w:rsid w:val="00EE0B17"/>
    <w:rsid w:val="00EE0F72"/>
    <w:rsid w:val="00EE4ED9"/>
    <w:rsid w:val="00EE5BAC"/>
    <w:rsid w:val="00EF525E"/>
    <w:rsid w:val="00EF562B"/>
    <w:rsid w:val="00EF5FFC"/>
    <w:rsid w:val="00F00951"/>
    <w:rsid w:val="00F0524D"/>
    <w:rsid w:val="00F075F9"/>
    <w:rsid w:val="00F114CF"/>
    <w:rsid w:val="00F12901"/>
    <w:rsid w:val="00F13511"/>
    <w:rsid w:val="00F142A2"/>
    <w:rsid w:val="00F17D4C"/>
    <w:rsid w:val="00F22780"/>
    <w:rsid w:val="00F23C67"/>
    <w:rsid w:val="00F23D90"/>
    <w:rsid w:val="00F24DB0"/>
    <w:rsid w:val="00F2501B"/>
    <w:rsid w:val="00F254A0"/>
    <w:rsid w:val="00F26D1B"/>
    <w:rsid w:val="00F27993"/>
    <w:rsid w:val="00F31B39"/>
    <w:rsid w:val="00F31F0D"/>
    <w:rsid w:val="00F327D1"/>
    <w:rsid w:val="00F343DC"/>
    <w:rsid w:val="00F365B2"/>
    <w:rsid w:val="00F37178"/>
    <w:rsid w:val="00F43670"/>
    <w:rsid w:val="00F453A9"/>
    <w:rsid w:val="00F45FA0"/>
    <w:rsid w:val="00F47DAF"/>
    <w:rsid w:val="00F5308A"/>
    <w:rsid w:val="00F54012"/>
    <w:rsid w:val="00F54A17"/>
    <w:rsid w:val="00F5546D"/>
    <w:rsid w:val="00F56E0D"/>
    <w:rsid w:val="00F5744B"/>
    <w:rsid w:val="00F605EB"/>
    <w:rsid w:val="00F62B83"/>
    <w:rsid w:val="00F644B0"/>
    <w:rsid w:val="00F677D0"/>
    <w:rsid w:val="00F7230A"/>
    <w:rsid w:val="00F74D53"/>
    <w:rsid w:val="00F74E0C"/>
    <w:rsid w:val="00F77DD7"/>
    <w:rsid w:val="00F8389B"/>
    <w:rsid w:val="00F84344"/>
    <w:rsid w:val="00F85E87"/>
    <w:rsid w:val="00F90D88"/>
    <w:rsid w:val="00F9199A"/>
    <w:rsid w:val="00F91A25"/>
    <w:rsid w:val="00FA1DE6"/>
    <w:rsid w:val="00FA3A9D"/>
    <w:rsid w:val="00FA589B"/>
    <w:rsid w:val="00FA773F"/>
    <w:rsid w:val="00FB02BF"/>
    <w:rsid w:val="00FB3892"/>
    <w:rsid w:val="00FB478B"/>
    <w:rsid w:val="00FB52E6"/>
    <w:rsid w:val="00FB5D26"/>
    <w:rsid w:val="00FB5E97"/>
    <w:rsid w:val="00FB6D2E"/>
    <w:rsid w:val="00FC10C6"/>
    <w:rsid w:val="00FC58FE"/>
    <w:rsid w:val="00FD19BB"/>
    <w:rsid w:val="00FD23EC"/>
    <w:rsid w:val="00FD2A09"/>
    <w:rsid w:val="00FD32BC"/>
    <w:rsid w:val="00FD53FF"/>
    <w:rsid w:val="00FD65D7"/>
    <w:rsid w:val="00FE0674"/>
    <w:rsid w:val="00FE195B"/>
    <w:rsid w:val="00FF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0" endcap="round"/>
    </o:shapedefaults>
    <o:shapelayout v:ext="edit">
      <o:idmap v:ext="edit" data="1"/>
    </o:shapelayout>
  </w:shapeDefaults>
  <w:doNotEmbedSmartTags/>
  <w:decimalSymbol w:val="."/>
  <w:listSeparator w:val=","/>
  <w14:docId w14:val="4CCDE8B1"/>
  <w15:docId w15:val="{1BF8D334-67D8-4A60-82CA-54E941A2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788"/>
    <w:rPr>
      <w:sz w:val="24"/>
      <w:szCs w:val="24"/>
      <w:lang w:val="en-US" w:eastAsia="en-US"/>
    </w:rPr>
  </w:style>
  <w:style w:type="paragraph" w:styleId="Heading1">
    <w:name w:val="heading 1"/>
    <w:basedOn w:val="Normal"/>
    <w:next w:val="Normal"/>
    <w:link w:val="Heading1Char"/>
    <w:qFormat/>
    <w:locked/>
    <w:rsid w:val="00392CA8"/>
    <w:pPr>
      <w:keepNext/>
      <w:outlineLvl w:val="0"/>
    </w:pPr>
    <w:rPr>
      <w:szCs w:val="20"/>
      <w:u w:val="single"/>
      <w:lang w:val="en-GB"/>
    </w:rPr>
  </w:style>
  <w:style w:type="paragraph" w:styleId="Heading2">
    <w:name w:val="heading 2"/>
    <w:basedOn w:val="Normal"/>
    <w:next w:val="Normal"/>
    <w:link w:val="Heading2Char"/>
    <w:unhideWhenUsed/>
    <w:qFormat/>
    <w:locked/>
    <w:rsid w:val="00C510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3F6D5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Sub Heading"/>
    <w:basedOn w:val="Normal"/>
    <w:next w:val="Normal"/>
    <w:link w:val="Heading4Char"/>
    <w:qFormat/>
    <w:locked/>
    <w:rsid w:val="00392CA8"/>
    <w:pPr>
      <w:keepNext/>
      <w:tabs>
        <w:tab w:val="left" w:pos="720"/>
      </w:tabs>
      <w:spacing w:before="240" w:after="60"/>
      <w:outlineLvl w:val="3"/>
    </w:pPr>
    <w:rPr>
      <w:b/>
      <w:bCs/>
      <w:sz w:val="28"/>
      <w:szCs w:val="28"/>
      <w:lang w:val="en-GB" w:eastAsia="en-GB"/>
    </w:rPr>
  </w:style>
  <w:style w:type="paragraph" w:styleId="Heading5">
    <w:name w:val="heading 5"/>
    <w:aliases w:val="Main Heading"/>
    <w:basedOn w:val="Normal"/>
    <w:next w:val="Normal"/>
    <w:link w:val="Heading5Char"/>
    <w:unhideWhenUsed/>
    <w:qFormat/>
    <w:locked/>
    <w:rsid w:val="00452B6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Section sub heading"/>
    <w:basedOn w:val="Normal"/>
    <w:next w:val="Normal"/>
    <w:link w:val="Heading6Char"/>
    <w:unhideWhenUsed/>
    <w:qFormat/>
    <w:locked/>
    <w:rsid w:val="00CE6C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locked/>
    <w:rsid w:val="003F6D56"/>
    <w:pPr>
      <w:keepNext/>
      <w:suppressAutoHyphens/>
      <w:autoSpaceDN w:val="0"/>
      <w:textAlignment w:val="baseline"/>
      <w:outlineLvl w:val="6"/>
    </w:pPr>
    <w:rPr>
      <w:rFonts w:ascii="Arial" w:hAnsi="Arial" w:cs="Arial"/>
      <w:sz w:val="32"/>
      <w:szCs w:val="22"/>
      <w:lang w:val="en-GB" w:eastAsia="en-GB"/>
    </w:rPr>
  </w:style>
  <w:style w:type="paragraph" w:styleId="Heading8">
    <w:name w:val="heading 8"/>
    <w:basedOn w:val="Normal"/>
    <w:next w:val="Normal"/>
    <w:link w:val="Heading8Char"/>
    <w:locked/>
    <w:rsid w:val="003F6D56"/>
    <w:pPr>
      <w:keepNext/>
      <w:suppressAutoHyphens/>
      <w:autoSpaceDN w:val="0"/>
      <w:ind w:left="720"/>
      <w:textAlignment w:val="baseline"/>
      <w:outlineLvl w:val="7"/>
    </w:pPr>
    <w:rPr>
      <w:rFonts w:ascii="Century Gothic" w:hAnsi="Century Gothic"/>
      <w:b/>
      <w:bCs/>
      <w:sz w:val="20"/>
      <w:szCs w:val="22"/>
      <w:lang w:val="en-GB" w:eastAsia="en-GB"/>
    </w:rPr>
  </w:style>
  <w:style w:type="paragraph" w:styleId="Heading9">
    <w:name w:val="heading 9"/>
    <w:basedOn w:val="Normal"/>
    <w:next w:val="Normal"/>
    <w:link w:val="Heading9Char"/>
    <w:locked/>
    <w:rsid w:val="003F6D56"/>
    <w:pPr>
      <w:keepNext/>
      <w:numPr>
        <w:ilvl w:val="8"/>
        <w:numId w:val="13"/>
      </w:numPr>
      <w:autoSpaceDN w:val="0"/>
      <w:textAlignment w:val="baseline"/>
      <w:outlineLvl w:val="8"/>
    </w:pPr>
    <w:rPr>
      <w:rFonts w:ascii="Arial" w:hAnsi="Arial" w:cs="Arial"/>
      <w:b/>
      <w:bCs/>
      <w:sz w:val="32"/>
      <w:szCs w:val="22"/>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E65788"/>
    <w:pPr>
      <w:spacing w:after="200" w:line="276" w:lineRule="auto"/>
      <w:outlineLvl w:val="0"/>
    </w:pPr>
    <w:rPr>
      <w:rFonts w:ascii="Helvetica" w:eastAsia="Arial Unicode MS" w:hAnsi="Helvetica"/>
      <w:color w:val="000000"/>
      <w:sz w:val="22"/>
      <w:u w:color="000000"/>
    </w:rPr>
  </w:style>
  <w:style w:type="paragraph" w:customStyle="1" w:styleId="List0">
    <w:name w:val="List 0"/>
    <w:basedOn w:val="ImportWordListStyleDefinition0"/>
    <w:autoRedefine/>
    <w:semiHidden/>
    <w:rsid w:val="00E65788"/>
    <w:pPr>
      <w:tabs>
        <w:tab w:val="clear" w:pos="360"/>
        <w:tab w:val="num" w:pos="785"/>
      </w:tabs>
      <w:ind w:left="785" w:firstLine="0"/>
    </w:pPr>
  </w:style>
  <w:style w:type="paragraph" w:customStyle="1" w:styleId="ImportWordListStyleDefinition0">
    <w:name w:val="Import Word List Style Definition 0"/>
    <w:rsid w:val="00E65788"/>
    <w:pPr>
      <w:tabs>
        <w:tab w:val="num" w:pos="360"/>
      </w:tabs>
      <w:ind w:left="360" w:firstLine="360"/>
    </w:pPr>
  </w:style>
  <w:style w:type="paragraph" w:customStyle="1" w:styleId="List1">
    <w:name w:val="List 1"/>
    <w:basedOn w:val="ImportWordListStyleDefinition2"/>
    <w:semiHidden/>
    <w:rsid w:val="00E65788"/>
  </w:style>
  <w:style w:type="paragraph" w:customStyle="1" w:styleId="ImportWordListStyleDefinition2">
    <w:name w:val="Import Word List Style Definition 2"/>
    <w:rsid w:val="00E65788"/>
    <w:pPr>
      <w:tabs>
        <w:tab w:val="num" w:pos="360"/>
      </w:tabs>
      <w:ind w:left="360" w:firstLine="360"/>
    </w:pPr>
  </w:style>
  <w:style w:type="paragraph" w:styleId="NormalWeb">
    <w:name w:val="Normal (Web)"/>
    <w:basedOn w:val="Normal"/>
    <w:uiPriority w:val="99"/>
    <w:locked/>
    <w:rsid w:val="00B75A8A"/>
    <w:pPr>
      <w:spacing w:beforeLines="1" w:afterLines="1"/>
    </w:pPr>
    <w:rPr>
      <w:rFonts w:ascii="Times" w:hAnsi="Times"/>
      <w:sz w:val="20"/>
      <w:szCs w:val="20"/>
      <w:lang w:val="en-GB"/>
    </w:rPr>
  </w:style>
  <w:style w:type="character" w:customStyle="1" w:styleId="Heading1Char">
    <w:name w:val="Heading 1 Char"/>
    <w:basedOn w:val="DefaultParagraphFont"/>
    <w:link w:val="Heading1"/>
    <w:rsid w:val="00392CA8"/>
    <w:rPr>
      <w:sz w:val="24"/>
      <w:u w:val="single"/>
    </w:rPr>
  </w:style>
  <w:style w:type="character" w:customStyle="1" w:styleId="Heading4Char">
    <w:name w:val="Heading 4 Char"/>
    <w:aliases w:val="Sub Heading Char"/>
    <w:basedOn w:val="DefaultParagraphFont"/>
    <w:link w:val="Heading4"/>
    <w:rsid w:val="00392CA8"/>
    <w:rPr>
      <w:b/>
      <w:bCs/>
      <w:sz w:val="28"/>
      <w:szCs w:val="28"/>
      <w:lang w:eastAsia="en-GB"/>
    </w:rPr>
  </w:style>
  <w:style w:type="paragraph" w:styleId="Header">
    <w:name w:val="header"/>
    <w:basedOn w:val="Normal"/>
    <w:link w:val="HeaderChar"/>
    <w:locked/>
    <w:rsid w:val="00392CA8"/>
    <w:pPr>
      <w:tabs>
        <w:tab w:val="left" w:pos="720"/>
        <w:tab w:val="center" w:pos="4153"/>
        <w:tab w:val="right" w:pos="8306"/>
      </w:tabs>
      <w:spacing w:before="120" w:after="120"/>
    </w:pPr>
    <w:rPr>
      <w:lang w:val="en-GB" w:eastAsia="en-GB"/>
    </w:rPr>
  </w:style>
  <w:style w:type="character" w:customStyle="1" w:styleId="HeaderChar">
    <w:name w:val="Header Char"/>
    <w:basedOn w:val="DefaultParagraphFont"/>
    <w:link w:val="Header"/>
    <w:uiPriority w:val="99"/>
    <w:rsid w:val="00392CA8"/>
    <w:rPr>
      <w:sz w:val="24"/>
      <w:szCs w:val="24"/>
      <w:lang w:eastAsia="en-GB"/>
    </w:rPr>
  </w:style>
  <w:style w:type="paragraph" w:styleId="Footer">
    <w:name w:val="footer"/>
    <w:basedOn w:val="Normal"/>
    <w:link w:val="FooterChar"/>
    <w:uiPriority w:val="99"/>
    <w:locked/>
    <w:rsid w:val="00392CA8"/>
    <w:pPr>
      <w:tabs>
        <w:tab w:val="left" w:pos="720"/>
        <w:tab w:val="center" w:pos="4153"/>
        <w:tab w:val="right" w:pos="8306"/>
      </w:tabs>
      <w:spacing w:before="120" w:after="120"/>
    </w:pPr>
    <w:rPr>
      <w:lang w:val="en-GB" w:eastAsia="en-GB"/>
    </w:rPr>
  </w:style>
  <w:style w:type="character" w:customStyle="1" w:styleId="FooterChar">
    <w:name w:val="Footer Char"/>
    <w:basedOn w:val="DefaultParagraphFont"/>
    <w:link w:val="Footer"/>
    <w:uiPriority w:val="99"/>
    <w:rsid w:val="00392CA8"/>
    <w:rPr>
      <w:sz w:val="24"/>
      <w:szCs w:val="24"/>
      <w:lang w:eastAsia="en-GB"/>
    </w:rPr>
  </w:style>
  <w:style w:type="paragraph" w:styleId="BodyText">
    <w:name w:val="Body Text"/>
    <w:basedOn w:val="Normal"/>
    <w:link w:val="BodyTextChar"/>
    <w:locked/>
    <w:rsid w:val="00392CA8"/>
    <w:rPr>
      <w:i/>
      <w:szCs w:val="20"/>
      <w:lang w:val="en-GB"/>
    </w:rPr>
  </w:style>
  <w:style w:type="character" w:customStyle="1" w:styleId="BodyTextChar">
    <w:name w:val="Body Text Char"/>
    <w:basedOn w:val="DefaultParagraphFont"/>
    <w:link w:val="BodyText"/>
    <w:rsid w:val="00392CA8"/>
    <w:rPr>
      <w:i/>
      <w:sz w:val="24"/>
    </w:rPr>
  </w:style>
  <w:style w:type="character" w:styleId="Hyperlink">
    <w:name w:val="Hyperlink"/>
    <w:basedOn w:val="DefaultParagraphFont"/>
    <w:uiPriority w:val="99"/>
    <w:locked/>
    <w:rsid w:val="00392CA8"/>
    <w:rPr>
      <w:color w:val="0000FF"/>
      <w:u w:val="single"/>
    </w:rPr>
  </w:style>
  <w:style w:type="paragraph" w:styleId="BodyText3">
    <w:name w:val="Body Text 3"/>
    <w:basedOn w:val="Normal"/>
    <w:link w:val="BodyText3Char"/>
    <w:locked/>
    <w:rsid w:val="00392CA8"/>
    <w:pPr>
      <w:spacing w:before="240"/>
    </w:pPr>
    <w:rPr>
      <w:snapToGrid w:val="0"/>
      <w:szCs w:val="20"/>
      <w:lang w:val="en-GB"/>
    </w:rPr>
  </w:style>
  <w:style w:type="character" w:customStyle="1" w:styleId="BodyText3Char">
    <w:name w:val="Body Text 3 Char"/>
    <w:basedOn w:val="DefaultParagraphFont"/>
    <w:link w:val="BodyText3"/>
    <w:rsid w:val="00392CA8"/>
    <w:rPr>
      <w:snapToGrid w:val="0"/>
      <w:sz w:val="24"/>
    </w:rPr>
  </w:style>
  <w:style w:type="paragraph" w:styleId="Subtitle">
    <w:name w:val="Subtitle"/>
    <w:aliases w:val="heading 2b subheadings within body"/>
    <w:basedOn w:val="Normal"/>
    <w:link w:val="SubtitleChar"/>
    <w:uiPriority w:val="11"/>
    <w:qFormat/>
    <w:locked/>
    <w:rsid w:val="00392CA8"/>
    <w:pPr>
      <w:jc w:val="center"/>
    </w:pPr>
    <w:rPr>
      <w:b/>
      <w:szCs w:val="20"/>
      <w:lang w:val="en-GB" w:eastAsia="en-GB"/>
    </w:rPr>
  </w:style>
  <w:style w:type="character" w:customStyle="1" w:styleId="SubtitleChar">
    <w:name w:val="Subtitle Char"/>
    <w:aliases w:val="heading 2b subheadings within body Char"/>
    <w:basedOn w:val="DefaultParagraphFont"/>
    <w:link w:val="Subtitle"/>
    <w:uiPriority w:val="11"/>
    <w:rsid w:val="00392CA8"/>
    <w:rPr>
      <w:b/>
      <w:sz w:val="24"/>
      <w:lang w:eastAsia="en-GB"/>
    </w:rPr>
  </w:style>
  <w:style w:type="table" w:styleId="TableGrid">
    <w:name w:val="Table Grid"/>
    <w:basedOn w:val="TableNormal"/>
    <w:uiPriority w:val="39"/>
    <w:locked/>
    <w:rsid w:val="00392CA8"/>
    <w:pPr>
      <w:tabs>
        <w:tab w:val="left" w:pos="720"/>
      </w:tabs>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392CA8"/>
    <w:pPr>
      <w:tabs>
        <w:tab w:val="left" w:pos="720"/>
      </w:tabs>
      <w:spacing w:before="120" w:after="120"/>
    </w:pPr>
    <w:rPr>
      <w:rFonts w:ascii="Tahoma" w:hAnsi="Tahoma" w:cs="Tahoma"/>
      <w:sz w:val="16"/>
      <w:szCs w:val="16"/>
      <w:lang w:val="en-GB" w:eastAsia="en-GB"/>
    </w:rPr>
  </w:style>
  <w:style w:type="character" w:customStyle="1" w:styleId="BalloonTextChar">
    <w:name w:val="Balloon Text Char"/>
    <w:basedOn w:val="DefaultParagraphFont"/>
    <w:link w:val="BalloonText"/>
    <w:rsid w:val="00392CA8"/>
    <w:rPr>
      <w:rFonts w:ascii="Tahoma" w:hAnsi="Tahoma" w:cs="Tahoma"/>
      <w:sz w:val="16"/>
      <w:szCs w:val="16"/>
      <w:lang w:eastAsia="en-GB"/>
    </w:rPr>
  </w:style>
  <w:style w:type="paragraph" w:customStyle="1" w:styleId="Char">
    <w:name w:val="Char"/>
    <w:basedOn w:val="Normal"/>
    <w:rsid w:val="00392CA8"/>
    <w:pPr>
      <w:spacing w:after="160" w:line="240" w:lineRule="exact"/>
    </w:pPr>
    <w:rPr>
      <w:rFonts w:ascii="Arial" w:hAnsi="Arial"/>
    </w:rPr>
  </w:style>
  <w:style w:type="paragraph" w:customStyle="1" w:styleId="Char1CharCharCharCharCharCharChar2CharCharCharChar">
    <w:name w:val="Char1 Char Char Char Char Char Char Char2 Char Char Char Char"/>
    <w:basedOn w:val="Normal"/>
    <w:rsid w:val="007F312D"/>
    <w:pPr>
      <w:spacing w:after="160" w:line="240" w:lineRule="exact"/>
    </w:pPr>
    <w:rPr>
      <w:rFonts w:ascii="Arial" w:hAnsi="Arial"/>
    </w:rPr>
  </w:style>
  <w:style w:type="paragraph" w:customStyle="1" w:styleId="ColorfulList-Accent11">
    <w:name w:val="Colorful List - Accent 11"/>
    <w:basedOn w:val="Normal"/>
    <w:uiPriority w:val="72"/>
    <w:qFormat/>
    <w:rsid w:val="00227BBC"/>
    <w:pPr>
      <w:ind w:left="720"/>
      <w:contextualSpacing/>
    </w:pPr>
  </w:style>
  <w:style w:type="paragraph" w:styleId="NoSpacing">
    <w:name w:val="No Spacing"/>
    <w:qFormat/>
    <w:rsid w:val="00AB13D2"/>
    <w:pPr>
      <w:tabs>
        <w:tab w:val="left" w:pos="720"/>
      </w:tabs>
    </w:pPr>
    <w:rPr>
      <w:sz w:val="24"/>
      <w:szCs w:val="24"/>
    </w:rPr>
  </w:style>
  <w:style w:type="paragraph" w:styleId="ListParagraph">
    <w:name w:val="List Paragraph"/>
    <w:basedOn w:val="Normal"/>
    <w:uiPriority w:val="34"/>
    <w:qFormat/>
    <w:rsid w:val="0023071E"/>
    <w:pPr>
      <w:spacing w:after="160" w:line="259" w:lineRule="auto"/>
      <w:ind w:left="720"/>
      <w:contextualSpacing/>
    </w:pPr>
    <w:rPr>
      <w:rFonts w:asciiTheme="minorHAnsi" w:eastAsiaTheme="minorHAnsi" w:hAnsiTheme="minorHAnsi" w:cstheme="minorBidi"/>
      <w:sz w:val="22"/>
      <w:szCs w:val="22"/>
      <w:lang w:val="en-GB"/>
    </w:rPr>
  </w:style>
  <w:style w:type="character" w:styleId="CommentReference">
    <w:name w:val="annotation reference"/>
    <w:basedOn w:val="DefaultParagraphFont"/>
    <w:unhideWhenUsed/>
    <w:locked/>
    <w:rsid w:val="007A7488"/>
    <w:rPr>
      <w:sz w:val="16"/>
      <w:szCs w:val="16"/>
    </w:rPr>
  </w:style>
  <w:style w:type="paragraph" w:styleId="CommentText">
    <w:name w:val="annotation text"/>
    <w:basedOn w:val="Normal"/>
    <w:link w:val="CommentTextChar"/>
    <w:unhideWhenUsed/>
    <w:locked/>
    <w:rsid w:val="007A7488"/>
    <w:rPr>
      <w:sz w:val="20"/>
      <w:szCs w:val="20"/>
    </w:rPr>
  </w:style>
  <w:style w:type="character" w:customStyle="1" w:styleId="CommentTextChar">
    <w:name w:val="Comment Text Char"/>
    <w:basedOn w:val="DefaultParagraphFont"/>
    <w:link w:val="CommentText"/>
    <w:rsid w:val="007A7488"/>
    <w:rPr>
      <w:lang w:val="en-US" w:eastAsia="en-US"/>
    </w:rPr>
  </w:style>
  <w:style w:type="paragraph" w:styleId="CommentSubject">
    <w:name w:val="annotation subject"/>
    <w:basedOn w:val="CommentText"/>
    <w:next w:val="CommentText"/>
    <w:link w:val="CommentSubjectChar"/>
    <w:unhideWhenUsed/>
    <w:locked/>
    <w:rsid w:val="007A7488"/>
    <w:rPr>
      <w:b/>
      <w:bCs/>
    </w:rPr>
  </w:style>
  <w:style w:type="character" w:customStyle="1" w:styleId="CommentSubjectChar">
    <w:name w:val="Comment Subject Char"/>
    <w:basedOn w:val="CommentTextChar"/>
    <w:link w:val="CommentSubject"/>
    <w:semiHidden/>
    <w:rsid w:val="007A7488"/>
    <w:rPr>
      <w:b/>
      <w:bCs/>
      <w:lang w:val="en-US" w:eastAsia="en-US"/>
    </w:rPr>
  </w:style>
  <w:style w:type="paragraph" w:styleId="TOCHeading">
    <w:name w:val="TOC Heading"/>
    <w:basedOn w:val="Heading1"/>
    <w:next w:val="Normal"/>
    <w:uiPriority w:val="39"/>
    <w:unhideWhenUsed/>
    <w:qFormat/>
    <w:rsid w:val="00984E98"/>
    <w:pPr>
      <w:keepLines/>
      <w:spacing w:before="240" w:line="259" w:lineRule="auto"/>
      <w:outlineLvl w:val="9"/>
    </w:pPr>
    <w:rPr>
      <w:rFonts w:asciiTheme="majorHAnsi" w:eastAsiaTheme="majorEastAsia" w:hAnsiTheme="majorHAnsi" w:cstheme="majorBidi"/>
      <w:color w:val="365F91" w:themeColor="accent1" w:themeShade="BF"/>
      <w:sz w:val="32"/>
      <w:szCs w:val="32"/>
      <w:u w:val="none"/>
      <w:lang w:val="en-US"/>
    </w:rPr>
  </w:style>
  <w:style w:type="paragraph" w:styleId="TOC1">
    <w:name w:val="toc 1"/>
    <w:basedOn w:val="Normal"/>
    <w:next w:val="Normal"/>
    <w:autoRedefine/>
    <w:uiPriority w:val="39"/>
    <w:unhideWhenUsed/>
    <w:locked/>
    <w:rsid w:val="00611E65"/>
    <w:pPr>
      <w:tabs>
        <w:tab w:val="right" w:leader="dot" w:pos="9203"/>
      </w:tabs>
      <w:spacing w:after="100"/>
    </w:pPr>
    <w:rPr>
      <w:rFonts w:ascii="Century Gothic" w:hAnsi="Century Gothic" w:cs="Arial"/>
      <w:b/>
      <w:noProof/>
    </w:rPr>
  </w:style>
  <w:style w:type="paragraph" w:styleId="TOC2">
    <w:name w:val="toc 2"/>
    <w:basedOn w:val="Normal"/>
    <w:next w:val="Normal"/>
    <w:autoRedefine/>
    <w:uiPriority w:val="39"/>
    <w:unhideWhenUsed/>
    <w:locked/>
    <w:rsid w:val="00984E98"/>
    <w:pPr>
      <w:spacing w:after="100"/>
      <w:ind w:left="240"/>
    </w:pPr>
  </w:style>
  <w:style w:type="character" w:styleId="Emphasis">
    <w:name w:val="Emphasis"/>
    <w:aliases w:val="Sub Head"/>
    <w:basedOn w:val="DefaultParagraphFont"/>
    <w:qFormat/>
    <w:locked/>
    <w:rsid w:val="00CD579B"/>
    <w:rPr>
      <w:i/>
      <w:iCs/>
    </w:rPr>
  </w:style>
  <w:style w:type="character" w:customStyle="1" w:styleId="Heading6Char">
    <w:name w:val="Heading 6 Char"/>
    <w:aliases w:val="Section sub heading Char"/>
    <w:basedOn w:val="DefaultParagraphFont"/>
    <w:link w:val="Heading6"/>
    <w:rsid w:val="00CE6C9C"/>
    <w:rPr>
      <w:rFonts w:asciiTheme="majorHAnsi" w:eastAsiaTheme="majorEastAsia" w:hAnsiTheme="majorHAnsi" w:cstheme="majorBidi"/>
      <w:i/>
      <w:iCs/>
      <w:color w:val="243F60" w:themeColor="accent1" w:themeShade="7F"/>
      <w:sz w:val="24"/>
      <w:szCs w:val="24"/>
      <w:lang w:val="en-US" w:eastAsia="en-US"/>
    </w:rPr>
  </w:style>
  <w:style w:type="character" w:styleId="UnresolvedMention">
    <w:name w:val="Unresolved Mention"/>
    <w:basedOn w:val="DefaultParagraphFont"/>
    <w:uiPriority w:val="99"/>
    <w:semiHidden/>
    <w:unhideWhenUsed/>
    <w:rsid w:val="00484E46"/>
    <w:rPr>
      <w:color w:val="605E5C"/>
      <w:shd w:val="clear" w:color="auto" w:fill="E1DFDD"/>
    </w:rPr>
  </w:style>
  <w:style w:type="table" w:styleId="MediumGrid3-Accent3">
    <w:name w:val="Medium Grid 3 Accent 3"/>
    <w:basedOn w:val="TableNormal"/>
    <w:uiPriority w:val="69"/>
    <w:rsid w:val="003521A9"/>
    <w:rPr>
      <w:rFonts w:asciiTheme="minorHAnsi" w:eastAsiaTheme="minorHAnsi" w:hAnsiTheme="minorHAnsi" w:cstheme="minorBidi"/>
      <w:sz w:val="22"/>
      <w:szCs w:val="22"/>
      <w:lang w:val="en-US"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eGrid1">
    <w:name w:val="Table Grid1"/>
    <w:basedOn w:val="TableNormal"/>
    <w:next w:val="TableGrid"/>
    <w:locked/>
    <w:rsid w:val="008D06D8"/>
    <w:pPr>
      <w:tabs>
        <w:tab w:val="left" w:pos="720"/>
      </w:tabs>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Main Heading Char"/>
    <w:basedOn w:val="DefaultParagraphFont"/>
    <w:link w:val="Heading5"/>
    <w:rsid w:val="00452B6F"/>
    <w:rPr>
      <w:rFonts w:asciiTheme="majorHAnsi" w:eastAsiaTheme="majorEastAsia" w:hAnsiTheme="majorHAnsi" w:cstheme="majorBidi"/>
      <w:color w:val="365F91" w:themeColor="accent1" w:themeShade="BF"/>
      <w:sz w:val="24"/>
      <w:szCs w:val="24"/>
      <w:lang w:val="en-US" w:eastAsia="en-US"/>
    </w:rPr>
  </w:style>
  <w:style w:type="character" w:customStyle="1" w:styleId="Heading2Char">
    <w:name w:val="Heading 2 Char"/>
    <w:basedOn w:val="DefaultParagraphFont"/>
    <w:link w:val="Heading2"/>
    <w:rsid w:val="00C51021"/>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3F6D56"/>
    <w:rPr>
      <w:rFonts w:asciiTheme="majorHAnsi" w:eastAsiaTheme="majorEastAsia" w:hAnsiTheme="majorHAnsi" w:cstheme="majorBidi"/>
      <w:color w:val="243F60" w:themeColor="accent1" w:themeShade="7F"/>
      <w:sz w:val="24"/>
      <w:szCs w:val="24"/>
      <w:lang w:val="en-US" w:eastAsia="en-US"/>
    </w:rPr>
  </w:style>
  <w:style w:type="character" w:customStyle="1" w:styleId="Heading7Char">
    <w:name w:val="Heading 7 Char"/>
    <w:basedOn w:val="DefaultParagraphFont"/>
    <w:link w:val="Heading7"/>
    <w:rsid w:val="003F6D56"/>
    <w:rPr>
      <w:rFonts w:ascii="Arial" w:hAnsi="Arial" w:cs="Arial"/>
      <w:sz w:val="32"/>
      <w:szCs w:val="22"/>
    </w:rPr>
  </w:style>
  <w:style w:type="character" w:customStyle="1" w:styleId="Heading8Char">
    <w:name w:val="Heading 8 Char"/>
    <w:basedOn w:val="DefaultParagraphFont"/>
    <w:link w:val="Heading8"/>
    <w:rsid w:val="003F6D56"/>
    <w:rPr>
      <w:rFonts w:ascii="Century Gothic" w:hAnsi="Century Gothic"/>
      <w:b/>
      <w:bCs/>
      <w:szCs w:val="22"/>
    </w:rPr>
  </w:style>
  <w:style w:type="character" w:customStyle="1" w:styleId="Heading9Char">
    <w:name w:val="Heading 9 Char"/>
    <w:basedOn w:val="DefaultParagraphFont"/>
    <w:link w:val="Heading9"/>
    <w:rsid w:val="003F6D56"/>
    <w:rPr>
      <w:rFonts w:ascii="Arial" w:hAnsi="Arial" w:cs="Arial"/>
      <w:b/>
      <w:bCs/>
      <w:sz w:val="32"/>
      <w:szCs w:val="22"/>
      <w:u w:val="single"/>
    </w:rPr>
  </w:style>
  <w:style w:type="character" w:customStyle="1" w:styleId="Style10pt">
    <w:name w:val="Style 10 pt"/>
    <w:basedOn w:val="DefaultParagraphFont"/>
    <w:rsid w:val="003F6D56"/>
    <w:rPr>
      <w:noProof w:val="0"/>
      <w:sz w:val="20"/>
      <w:u w:color="000000"/>
      <w:lang w:val="en-GB"/>
    </w:rPr>
  </w:style>
  <w:style w:type="character" w:customStyle="1" w:styleId="bold1">
    <w:name w:val="bold1"/>
    <w:rsid w:val="003F6D56"/>
    <w:rPr>
      <w:b/>
      <w:bCs/>
    </w:rPr>
  </w:style>
  <w:style w:type="character" w:styleId="IntenseEmphasis">
    <w:name w:val="Intense Emphasis"/>
    <w:uiPriority w:val="21"/>
    <w:rsid w:val="003F6D56"/>
    <w:rPr>
      <w:b/>
      <w:bCs/>
      <w:i/>
      <w:iCs/>
      <w:color w:val="4F81BD"/>
    </w:rPr>
  </w:style>
  <w:style w:type="paragraph" w:styleId="FootnoteText">
    <w:name w:val="footnote text"/>
    <w:basedOn w:val="Normal"/>
    <w:link w:val="FootnoteTextChar"/>
    <w:locked/>
    <w:rsid w:val="003F6D56"/>
    <w:pPr>
      <w:suppressAutoHyphens/>
      <w:autoSpaceDN w:val="0"/>
      <w:textAlignment w:val="baseline"/>
    </w:pPr>
    <w:rPr>
      <w:rFonts w:ascii="Calibri" w:eastAsia="Calibri" w:hAnsi="Calibri"/>
      <w:sz w:val="20"/>
      <w:szCs w:val="20"/>
      <w:lang w:val="en-GB" w:eastAsia="en-GB"/>
    </w:rPr>
  </w:style>
  <w:style w:type="character" w:customStyle="1" w:styleId="FootnoteTextChar">
    <w:name w:val="Footnote Text Char"/>
    <w:basedOn w:val="DefaultParagraphFont"/>
    <w:link w:val="FootnoteText"/>
    <w:rsid w:val="003F6D56"/>
    <w:rPr>
      <w:rFonts w:ascii="Calibri" w:eastAsia="Calibri" w:hAnsi="Calibri"/>
    </w:rPr>
  </w:style>
  <w:style w:type="paragraph" w:styleId="BodyTextIndent">
    <w:name w:val="Body Text Indent"/>
    <w:basedOn w:val="Normal"/>
    <w:link w:val="BodyTextIndentChar"/>
    <w:locked/>
    <w:rsid w:val="003F6D56"/>
    <w:pPr>
      <w:suppressAutoHyphens/>
      <w:autoSpaceDN w:val="0"/>
      <w:spacing w:after="120"/>
      <w:ind w:left="283"/>
      <w:textAlignment w:val="baseline"/>
    </w:pPr>
    <w:rPr>
      <w:rFonts w:ascii="Century Gothic" w:hAnsi="Century Gothic"/>
      <w:sz w:val="20"/>
      <w:szCs w:val="22"/>
      <w:lang w:val="en-GB" w:eastAsia="en-GB"/>
    </w:rPr>
  </w:style>
  <w:style w:type="character" w:customStyle="1" w:styleId="BodyTextIndentChar">
    <w:name w:val="Body Text Indent Char"/>
    <w:basedOn w:val="DefaultParagraphFont"/>
    <w:link w:val="BodyTextIndent"/>
    <w:rsid w:val="003F6D56"/>
    <w:rPr>
      <w:rFonts w:ascii="Century Gothic" w:hAnsi="Century Gothic"/>
      <w:szCs w:val="22"/>
    </w:rPr>
  </w:style>
  <w:style w:type="paragraph" w:styleId="TOC3">
    <w:name w:val="toc 3"/>
    <w:basedOn w:val="Normal"/>
    <w:next w:val="Normal"/>
    <w:autoRedefine/>
    <w:uiPriority w:val="39"/>
    <w:unhideWhenUsed/>
    <w:locked/>
    <w:rsid w:val="003F6D56"/>
    <w:pPr>
      <w:tabs>
        <w:tab w:val="right" w:leader="dot" w:pos="9598"/>
      </w:tabs>
      <w:spacing w:after="100" w:line="259" w:lineRule="auto"/>
      <w:ind w:left="440"/>
    </w:pPr>
    <w:rPr>
      <w:rFonts w:asciiTheme="minorHAnsi" w:eastAsiaTheme="minorEastAsia" w:hAnsiTheme="minorHAnsi"/>
      <w:noProof/>
      <w:sz w:val="18"/>
      <w:szCs w:val="22"/>
      <w:lang w:val="en-GB" w:eastAsia="en-GB"/>
    </w:rPr>
  </w:style>
  <w:style w:type="paragraph" w:customStyle="1" w:styleId="Default">
    <w:name w:val="Default"/>
    <w:rsid w:val="003F6D56"/>
    <w:pPr>
      <w:suppressAutoHyphens/>
      <w:autoSpaceDE w:val="0"/>
      <w:autoSpaceDN w:val="0"/>
      <w:textAlignment w:val="baseline"/>
    </w:pPr>
    <w:rPr>
      <w:rFonts w:ascii="Century Gothic" w:hAnsi="Century Gothic"/>
      <w:color w:val="000000"/>
      <w:sz w:val="24"/>
      <w:szCs w:val="24"/>
      <w:lang w:val="en-US" w:eastAsia="en-US"/>
    </w:rPr>
  </w:style>
  <w:style w:type="paragraph" w:styleId="List">
    <w:name w:val="List"/>
    <w:basedOn w:val="BodyText"/>
    <w:locked/>
    <w:rsid w:val="003F6D56"/>
    <w:pPr>
      <w:suppressAutoHyphens/>
      <w:autoSpaceDN w:val="0"/>
      <w:spacing w:after="120"/>
      <w:textAlignment w:val="baseline"/>
    </w:pPr>
    <w:rPr>
      <w:rFonts w:ascii="Arial" w:eastAsia="HG Mincho Light J" w:hAnsi="Arial"/>
      <w:i w:val="0"/>
      <w:color w:val="000000"/>
      <w:sz w:val="20"/>
      <w:lang w:eastAsia="en-GB"/>
    </w:rPr>
  </w:style>
  <w:style w:type="paragraph" w:styleId="BodyText2">
    <w:name w:val="Body Text 2"/>
    <w:basedOn w:val="Normal"/>
    <w:link w:val="BodyText2Char"/>
    <w:locked/>
    <w:rsid w:val="003F6D56"/>
    <w:pPr>
      <w:suppressAutoHyphens/>
      <w:autoSpaceDN w:val="0"/>
      <w:spacing w:after="120" w:line="480" w:lineRule="auto"/>
      <w:textAlignment w:val="baseline"/>
    </w:pPr>
    <w:rPr>
      <w:rFonts w:ascii="Century Gothic" w:hAnsi="Century Gothic"/>
      <w:sz w:val="20"/>
      <w:szCs w:val="22"/>
      <w:lang w:val="en-GB" w:eastAsia="en-GB"/>
    </w:rPr>
  </w:style>
  <w:style w:type="character" w:customStyle="1" w:styleId="BodyText2Char">
    <w:name w:val="Body Text 2 Char"/>
    <w:basedOn w:val="DefaultParagraphFont"/>
    <w:link w:val="BodyText2"/>
    <w:rsid w:val="003F6D56"/>
    <w:rPr>
      <w:rFonts w:ascii="Century Gothic" w:hAnsi="Century Gothic"/>
      <w:szCs w:val="22"/>
    </w:rPr>
  </w:style>
  <w:style w:type="paragraph" w:customStyle="1" w:styleId="Bulletlevel11">
    <w:name w:val="Bulletlevel1_1"/>
    <w:qFormat/>
    <w:rsid w:val="003F6D56"/>
    <w:pPr>
      <w:spacing w:after="120" w:line="220" w:lineRule="exact"/>
      <w:ind w:left="1077" w:hanging="360"/>
      <w:contextualSpacing/>
    </w:pPr>
    <w:rPr>
      <w:rFonts w:ascii="Open Sans" w:eastAsia="Century Gothic" w:hAnsi="Open Sans" w:cs="Open Sans"/>
      <w:color w:val="000000"/>
      <w:szCs w:val="22"/>
      <w:lang w:val="en-US" w:eastAsia="en-US"/>
    </w:rPr>
  </w:style>
  <w:style w:type="character" w:styleId="FollowedHyperlink">
    <w:name w:val="FollowedHyperlink"/>
    <w:locked/>
    <w:rsid w:val="003F6D56"/>
    <w:rPr>
      <w:color w:val="800080"/>
      <w:u w:val="single"/>
    </w:rPr>
  </w:style>
  <w:style w:type="character" w:styleId="Strong">
    <w:name w:val="Strong"/>
    <w:locked/>
    <w:rsid w:val="003F6D56"/>
    <w:rPr>
      <w:b/>
      <w:bCs/>
    </w:rPr>
  </w:style>
  <w:style w:type="character" w:styleId="FootnoteReference">
    <w:name w:val="footnote reference"/>
    <w:locked/>
    <w:rsid w:val="003F6D56"/>
    <w:rPr>
      <w:rFonts w:ascii="Arial" w:hAnsi="Arial" w:cs="Arial"/>
      <w:color w:val="212121"/>
      <w:position w:val="0"/>
      <w:sz w:val="20"/>
      <w:szCs w:val="18"/>
      <w:vertAlign w:val="superscript"/>
    </w:rPr>
  </w:style>
  <w:style w:type="paragraph" w:styleId="Caption">
    <w:name w:val="caption"/>
    <w:aliases w:val="Body Copy"/>
    <w:basedOn w:val="Normal"/>
    <w:next w:val="Normal"/>
    <w:qFormat/>
    <w:locked/>
    <w:rsid w:val="003F6D56"/>
    <w:pPr>
      <w:autoSpaceDN w:val="0"/>
      <w:textAlignment w:val="baseline"/>
    </w:pPr>
    <w:rPr>
      <w:rFonts w:ascii="Century Gothic" w:hAnsi="Century Gothic" w:cs="Arial"/>
      <w:color w:val="000000" w:themeColor="text1"/>
      <w:sz w:val="20"/>
      <w:szCs w:val="22"/>
      <w:lang w:val="en-GB" w:eastAsia="en-GB"/>
    </w:rPr>
  </w:style>
  <w:style w:type="character" w:customStyle="1" w:styleId="A2">
    <w:name w:val="A2"/>
    <w:uiPriority w:val="99"/>
    <w:rsid w:val="003F6D56"/>
    <w:rPr>
      <w:rFonts w:cs="Futura Serie BQ"/>
      <w:color w:val="FFFFFF"/>
      <w:sz w:val="14"/>
      <w:szCs w:val="14"/>
    </w:rPr>
  </w:style>
  <w:style w:type="paragraph" w:styleId="BodyTextIndent2">
    <w:name w:val="Body Text Indent 2"/>
    <w:basedOn w:val="Normal"/>
    <w:link w:val="BodyTextIndent2Char"/>
    <w:locked/>
    <w:rsid w:val="003F6D56"/>
    <w:pPr>
      <w:suppressAutoHyphens/>
      <w:autoSpaceDN w:val="0"/>
      <w:ind w:left="360"/>
      <w:textAlignment w:val="baseline"/>
    </w:pPr>
    <w:rPr>
      <w:rFonts w:ascii="Verdana" w:hAnsi="Verdana" w:cs="Arial"/>
      <w:sz w:val="20"/>
      <w:szCs w:val="22"/>
      <w:lang w:val="en-GB" w:eastAsia="en-GB"/>
    </w:rPr>
  </w:style>
  <w:style w:type="character" w:customStyle="1" w:styleId="BodyTextIndent2Char">
    <w:name w:val="Body Text Indent 2 Char"/>
    <w:basedOn w:val="DefaultParagraphFont"/>
    <w:link w:val="BodyTextIndent2"/>
    <w:rsid w:val="003F6D56"/>
    <w:rPr>
      <w:rFonts w:ascii="Verdana" w:hAnsi="Verdana" w:cs="Arial"/>
      <w:szCs w:val="22"/>
    </w:rPr>
  </w:style>
  <w:style w:type="character" w:customStyle="1" w:styleId="TitleChar">
    <w:name w:val="Title Char"/>
    <w:link w:val="Title"/>
    <w:uiPriority w:val="10"/>
    <w:rsid w:val="003F6D56"/>
    <w:rPr>
      <w:rFonts w:ascii="FuturaEFOP-Book" w:hAnsi="FuturaEFOP-Book"/>
      <w:bCs/>
      <w:color w:val="7F7F7F"/>
      <w:sz w:val="36"/>
      <w:szCs w:val="36"/>
      <w:lang w:eastAsia="en-US"/>
    </w:rPr>
  </w:style>
  <w:style w:type="character" w:styleId="PageNumber">
    <w:name w:val="page number"/>
    <w:basedOn w:val="DefaultParagraphFont"/>
    <w:locked/>
    <w:rsid w:val="003F6D56"/>
  </w:style>
  <w:style w:type="paragraph" w:customStyle="1" w:styleId="TOC11">
    <w:name w:val="TOC1_1"/>
    <w:autoRedefine/>
    <w:uiPriority w:val="39"/>
    <w:rsid w:val="003F6D56"/>
    <w:pPr>
      <w:suppressAutoHyphens/>
      <w:autoSpaceDN w:val="0"/>
      <w:textAlignment w:val="baseline"/>
    </w:pPr>
    <w:rPr>
      <w:rFonts w:ascii="Verdana" w:hAnsi="Verdana"/>
      <w:bCs/>
    </w:rPr>
  </w:style>
  <w:style w:type="paragraph" w:customStyle="1" w:styleId="Heading61">
    <w:name w:val="Heading6_1"/>
    <w:qFormat/>
    <w:rsid w:val="003F6D56"/>
    <w:pPr>
      <w:autoSpaceDN w:val="0"/>
      <w:textAlignment w:val="baseline"/>
      <w:outlineLvl w:val="5"/>
    </w:pPr>
    <w:rPr>
      <w:rFonts w:ascii="Century Gothic" w:hAnsi="Century Gothic"/>
      <w:b/>
      <w:sz w:val="22"/>
      <w:szCs w:val="24"/>
    </w:rPr>
  </w:style>
  <w:style w:type="paragraph" w:styleId="Title">
    <w:name w:val="Title"/>
    <w:basedOn w:val="Normal"/>
    <w:next w:val="Normal"/>
    <w:link w:val="TitleChar"/>
    <w:uiPriority w:val="10"/>
    <w:locked/>
    <w:rsid w:val="003F6D56"/>
    <w:pPr>
      <w:autoSpaceDN w:val="0"/>
      <w:ind w:right="-315"/>
      <w:textAlignment w:val="baseline"/>
    </w:pPr>
    <w:rPr>
      <w:rFonts w:ascii="FuturaEFOP-Book" w:hAnsi="FuturaEFOP-Book"/>
      <w:bCs/>
      <w:color w:val="7F7F7F"/>
      <w:sz w:val="36"/>
      <w:szCs w:val="36"/>
      <w:lang w:val="en-GB"/>
    </w:rPr>
  </w:style>
  <w:style w:type="character" w:customStyle="1" w:styleId="TitleChar1">
    <w:name w:val="Title Char1"/>
    <w:basedOn w:val="DefaultParagraphFont"/>
    <w:rsid w:val="003F6D56"/>
    <w:rPr>
      <w:rFonts w:asciiTheme="majorHAnsi" w:eastAsiaTheme="majorEastAsia" w:hAnsiTheme="majorHAnsi" w:cstheme="majorBidi"/>
      <w:spacing w:val="-10"/>
      <w:kern w:val="28"/>
      <w:sz w:val="56"/>
      <w:szCs w:val="56"/>
      <w:lang w:val="en-US" w:eastAsia="en-US"/>
    </w:rPr>
  </w:style>
  <w:style w:type="character" w:styleId="SubtleEmphasis">
    <w:name w:val="Subtle Emphasis"/>
    <w:uiPriority w:val="19"/>
    <w:rsid w:val="003F6D56"/>
    <w:rPr>
      <w:rFonts w:ascii="FuturaEFOP-Book" w:hAnsi="FuturaEFOP-Book"/>
      <w:color w:val="7F7F7F"/>
      <w:sz w:val="28"/>
      <w:szCs w:val="28"/>
    </w:rPr>
  </w:style>
  <w:style w:type="paragraph" w:customStyle="1" w:styleId="ListParagraph1">
    <w:name w:val="ListParagraph_1"/>
    <w:uiPriority w:val="34"/>
    <w:qFormat/>
    <w:rsid w:val="003F6D56"/>
    <w:pPr>
      <w:suppressAutoHyphens/>
      <w:autoSpaceDN w:val="0"/>
      <w:ind w:left="720"/>
      <w:textAlignment w:val="baseline"/>
    </w:pPr>
    <w:rPr>
      <w:rFonts w:ascii="Century Gothic" w:hAnsi="Century Gothic"/>
      <w:sz w:val="22"/>
      <w:szCs w:val="22"/>
    </w:rPr>
  </w:style>
  <w:style w:type="numbering" w:customStyle="1" w:styleId="NoList1">
    <w:name w:val="No List1"/>
    <w:next w:val="NoList"/>
    <w:uiPriority w:val="99"/>
    <w:semiHidden/>
    <w:unhideWhenUsed/>
    <w:rsid w:val="003F6D56"/>
  </w:style>
  <w:style w:type="paragraph" w:customStyle="1" w:styleId="Bulletlevel1">
    <w:name w:val="Bullet level 1"/>
    <w:basedOn w:val="ListParagraph"/>
    <w:qFormat/>
    <w:rsid w:val="003F6D56"/>
    <w:pPr>
      <w:numPr>
        <w:numId w:val="14"/>
      </w:numPr>
      <w:spacing w:after="120" w:line="220" w:lineRule="exact"/>
    </w:pPr>
    <w:rPr>
      <w:rFonts w:ascii="Open Sans" w:eastAsia="Century Gothic" w:hAnsi="Open Sans" w:cs="Open Sans"/>
      <w:color w:val="000000"/>
      <w:sz w:val="20"/>
      <w:lang w:val="en-US"/>
    </w:rPr>
  </w:style>
  <w:style w:type="paragraph" w:styleId="Revision">
    <w:name w:val="Revision"/>
    <w:hidden/>
    <w:uiPriority w:val="99"/>
    <w:semiHidden/>
    <w:rsid w:val="003F6D56"/>
    <w:rPr>
      <w:rFonts w:ascii="Century Gothic" w:hAnsi="Century Gothic"/>
      <w:sz w:val="22"/>
      <w:szCs w:val="22"/>
    </w:rPr>
  </w:style>
  <w:style w:type="paragraph" w:customStyle="1" w:styleId="TOCHeading1">
    <w:name w:val="TOCHeading_1"/>
    <w:uiPriority w:val="39"/>
    <w:unhideWhenUsed/>
    <w:qFormat/>
    <w:rsid w:val="003F6D56"/>
    <w:pPr>
      <w:keepNext/>
      <w:keepLines/>
      <w:autoSpaceDN w:val="0"/>
      <w:spacing w:before="480"/>
      <w:textAlignment w:val="baseline"/>
    </w:pPr>
    <w:rPr>
      <w:rFonts w:asciiTheme="majorHAnsi" w:eastAsiaTheme="majorEastAsia" w:hAnsiTheme="majorHAnsi" w:cstheme="majorBidi"/>
      <w:b/>
      <w:bCs/>
      <w:color w:val="365F91" w:themeColor="accent1" w:themeShade="BF"/>
      <w:sz w:val="28"/>
      <w:szCs w:val="28"/>
    </w:rPr>
  </w:style>
  <w:style w:type="paragraph" w:customStyle="1" w:styleId="Heading41">
    <w:name w:val="Heading4_1"/>
    <w:qFormat/>
    <w:rsid w:val="003F6D56"/>
    <w:pPr>
      <w:autoSpaceDN w:val="0"/>
      <w:textAlignment w:val="baseline"/>
      <w:outlineLvl w:val="3"/>
    </w:pPr>
    <w:rPr>
      <w:rFonts w:ascii="Gill Sans MT" w:hAnsi="Gill Sans MT" w:cs="Arial"/>
      <w:bCs/>
      <w:color w:val="000000"/>
      <w:sz w:val="24"/>
      <w:szCs w:val="48"/>
    </w:rPr>
  </w:style>
  <w:style w:type="paragraph" w:customStyle="1" w:styleId="Footer1">
    <w:name w:val="Footer_1"/>
    <w:uiPriority w:val="99"/>
    <w:rsid w:val="003F6D56"/>
    <w:pPr>
      <w:tabs>
        <w:tab w:val="center" w:pos="4513"/>
        <w:tab w:val="right" w:pos="9026"/>
      </w:tabs>
      <w:suppressAutoHyphens/>
      <w:autoSpaceDN w:val="0"/>
      <w:textAlignment w:val="baseline"/>
    </w:pPr>
    <w:rPr>
      <w:rFonts w:ascii="Century Gothic" w:hAnsi="Century Gothic"/>
      <w:sz w:val="22"/>
      <w:szCs w:val="22"/>
    </w:rPr>
  </w:style>
  <w:style w:type="paragraph" w:customStyle="1" w:styleId="pf0">
    <w:name w:val="pf0"/>
    <w:basedOn w:val="Normal"/>
    <w:rsid w:val="003F6D56"/>
    <w:pPr>
      <w:spacing w:before="100" w:beforeAutospacing="1" w:after="100" w:afterAutospacing="1"/>
    </w:pPr>
    <w:rPr>
      <w:lang w:val="en-GB" w:eastAsia="en-GB"/>
    </w:rPr>
  </w:style>
  <w:style w:type="character" w:customStyle="1" w:styleId="cf01">
    <w:name w:val="cf01"/>
    <w:basedOn w:val="DefaultParagraphFont"/>
    <w:rsid w:val="003F6D56"/>
    <w:rPr>
      <w:rFonts w:ascii="Segoe UI" w:hAnsi="Segoe UI" w:cs="Segoe UI" w:hint="default"/>
      <w:b/>
      <w:bCs/>
      <w:sz w:val="18"/>
      <w:szCs w:val="18"/>
    </w:rPr>
  </w:style>
  <w:style w:type="character" w:customStyle="1" w:styleId="cf21">
    <w:name w:val="cf21"/>
    <w:basedOn w:val="DefaultParagraphFont"/>
    <w:rsid w:val="003F6D56"/>
    <w:rPr>
      <w:rFonts w:ascii="Segoe UI" w:hAnsi="Segoe UI" w:cs="Segoe UI" w:hint="default"/>
      <w:sz w:val="18"/>
      <w:szCs w:val="18"/>
    </w:rPr>
  </w:style>
  <w:style w:type="character" w:customStyle="1" w:styleId="cf31">
    <w:name w:val="cf31"/>
    <w:basedOn w:val="DefaultParagraphFont"/>
    <w:rsid w:val="003F6D56"/>
    <w:rPr>
      <w:rFonts w:ascii="Segoe UI" w:hAnsi="Segoe UI" w:cs="Segoe UI" w:hint="default"/>
      <w:color w:val="FF0000"/>
      <w:sz w:val="18"/>
      <w:szCs w:val="18"/>
    </w:rPr>
  </w:style>
  <w:style w:type="table" w:customStyle="1" w:styleId="TableGrid2">
    <w:name w:val="Table Grid2"/>
    <w:basedOn w:val="TableNormal"/>
    <w:next w:val="TableGrid"/>
    <w:uiPriority w:val="39"/>
    <w:rsid w:val="00E1531A"/>
    <w:rPr>
      <w:rFonts w:ascii="Century Gothic" w:hAnsi="Century Gothic"/>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02886">
      <w:bodyDiv w:val="1"/>
      <w:marLeft w:val="0"/>
      <w:marRight w:val="0"/>
      <w:marTop w:val="0"/>
      <w:marBottom w:val="0"/>
      <w:divBdr>
        <w:top w:val="none" w:sz="0" w:space="0" w:color="auto"/>
        <w:left w:val="none" w:sz="0" w:space="0" w:color="auto"/>
        <w:bottom w:val="none" w:sz="0" w:space="0" w:color="auto"/>
        <w:right w:val="none" w:sz="0" w:space="0" w:color="auto"/>
      </w:divBdr>
    </w:div>
    <w:div w:id="139463578">
      <w:bodyDiv w:val="1"/>
      <w:marLeft w:val="0"/>
      <w:marRight w:val="0"/>
      <w:marTop w:val="0"/>
      <w:marBottom w:val="0"/>
      <w:divBdr>
        <w:top w:val="none" w:sz="0" w:space="0" w:color="auto"/>
        <w:left w:val="none" w:sz="0" w:space="0" w:color="auto"/>
        <w:bottom w:val="none" w:sz="0" w:space="0" w:color="auto"/>
        <w:right w:val="none" w:sz="0" w:space="0" w:color="auto"/>
      </w:divBdr>
      <w:divsChild>
        <w:div w:id="451477897">
          <w:marLeft w:val="418"/>
          <w:marRight w:val="0"/>
          <w:marTop w:val="0"/>
          <w:marBottom w:val="0"/>
          <w:divBdr>
            <w:top w:val="none" w:sz="0" w:space="0" w:color="auto"/>
            <w:left w:val="none" w:sz="0" w:space="0" w:color="auto"/>
            <w:bottom w:val="none" w:sz="0" w:space="0" w:color="auto"/>
            <w:right w:val="none" w:sz="0" w:space="0" w:color="auto"/>
          </w:divBdr>
        </w:div>
        <w:div w:id="1275943101">
          <w:marLeft w:val="1138"/>
          <w:marRight w:val="0"/>
          <w:marTop w:val="0"/>
          <w:marBottom w:val="0"/>
          <w:divBdr>
            <w:top w:val="none" w:sz="0" w:space="0" w:color="auto"/>
            <w:left w:val="none" w:sz="0" w:space="0" w:color="auto"/>
            <w:bottom w:val="none" w:sz="0" w:space="0" w:color="auto"/>
            <w:right w:val="none" w:sz="0" w:space="0" w:color="auto"/>
          </w:divBdr>
        </w:div>
        <w:div w:id="1666516988">
          <w:marLeft w:val="1138"/>
          <w:marRight w:val="0"/>
          <w:marTop w:val="0"/>
          <w:marBottom w:val="0"/>
          <w:divBdr>
            <w:top w:val="none" w:sz="0" w:space="0" w:color="auto"/>
            <w:left w:val="none" w:sz="0" w:space="0" w:color="auto"/>
            <w:bottom w:val="none" w:sz="0" w:space="0" w:color="auto"/>
            <w:right w:val="none" w:sz="0" w:space="0" w:color="auto"/>
          </w:divBdr>
        </w:div>
        <w:div w:id="1740784598">
          <w:marLeft w:val="1138"/>
          <w:marRight w:val="0"/>
          <w:marTop w:val="0"/>
          <w:marBottom w:val="0"/>
          <w:divBdr>
            <w:top w:val="none" w:sz="0" w:space="0" w:color="auto"/>
            <w:left w:val="none" w:sz="0" w:space="0" w:color="auto"/>
            <w:bottom w:val="none" w:sz="0" w:space="0" w:color="auto"/>
            <w:right w:val="none" w:sz="0" w:space="0" w:color="auto"/>
          </w:divBdr>
        </w:div>
      </w:divsChild>
    </w:div>
    <w:div w:id="460617411">
      <w:bodyDiv w:val="1"/>
      <w:marLeft w:val="0"/>
      <w:marRight w:val="0"/>
      <w:marTop w:val="0"/>
      <w:marBottom w:val="0"/>
      <w:divBdr>
        <w:top w:val="none" w:sz="0" w:space="0" w:color="auto"/>
        <w:left w:val="none" w:sz="0" w:space="0" w:color="auto"/>
        <w:bottom w:val="none" w:sz="0" w:space="0" w:color="auto"/>
        <w:right w:val="none" w:sz="0" w:space="0" w:color="auto"/>
      </w:divBdr>
    </w:div>
    <w:div w:id="516387310">
      <w:bodyDiv w:val="1"/>
      <w:marLeft w:val="0"/>
      <w:marRight w:val="0"/>
      <w:marTop w:val="0"/>
      <w:marBottom w:val="0"/>
      <w:divBdr>
        <w:top w:val="none" w:sz="0" w:space="0" w:color="auto"/>
        <w:left w:val="none" w:sz="0" w:space="0" w:color="auto"/>
        <w:bottom w:val="none" w:sz="0" w:space="0" w:color="auto"/>
        <w:right w:val="none" w:sz="0" w:space="0" w:color="auto"/>
      </w:divBdr>
    </w:div>
    <w:div w:id="820927908">
      <w:bodyDiv w:val="1"/>
      <w:marLeft w:val="0"/>
      <w:marRight w:val="0"/>
      <w:marTop w:val="0"/>
      <w:marBottom w:val="0"/>
      <w:divBdr>
        <w:top w:val="none" w:sz="0" w:space="0" w:color="auto"/>
        <w:left w:val="none" w:sz="0" w:space="0" w:color="auto"/>
        <w:bottom w:val="none" w:sz="0" w:space="0" w:color="auto"/>
        <w:right w:val="none" w:sz="0" w:space="0" w:color="auto"/>
      </w:divBdr>
    </w:div>
    <w:div w:id="831215993">
      <w:bodyDiv w:val="1"/>
      <w:marLeft w:val="0"/>
      <w:marRight w:val="0"/>
      <w:marTop w:val="0"/>
      <w:marBottom w:val="0"/>
      <w:divBdr>
        <w:top w:val="none" w:sz="0" w:space="0" w:color="auto"/>
        <w:left w:val="none" w:sz="0" w:space="0" w:color="auto"/>
        <w:bottom w:val="none" w:sz="0" w:space="0" w:color="auto"/>
        <w:right w:val="none" w:sz="0" w:space="0" w:color="auto"/>
      </w:divBdr>
    </w:div>
    <w:div w:id="833641440">
      <w:bodyDiv w:val="1"/>
      <w:marLeft w:val="0"/>
      <w:marRight w:val="0"/>
      <w:marTop w:val="0"/>
      <w:marBottom w:val="0"/>
      <w:divBdr>
        <w:top w:val="none" w:sz="0" w:space="0" w:color="auto"/>
        <w:left w:val="none" w:sz="0" w:space="0" w:color="auto"/>
        <w:bottom w:val="none" w:sz="0" w:space="0" w:color="auto"/>
        <w:right w:val="none" w:sz="0" w:space="0" w:color="auto"/>
      </w:divBdr>
    </w:div>
    <w:div w:id="941491028">
      <w:bodyDiv w:val="1"/>
      <w:marLeft w:val="0"/>
      <w:marRight w:val="0"/>
      <w:marTop w:val="0"/>
      <w:marBottom w:val="0"/>
      <w:divBdr>
        <w:top w:val="none" w:sz="0" w:space="0" w:color="auto"/>
        <w:left w:val="none" w:sz="0" w:space="0" w:color="auto"/>
        <w:bottom w:val="none" w:sz="0" w:space="0" w:color="auto"/>
        <w:right w:val="none" w:sz="0" w:space="0" w:color="auto"/>
      </w:divBdr>
      <w:divsChild>
        <w:div w:id="1335261681">
          <w:marLeft w:val="0"/>
          <w:marRight w:val="0"/>
          <w:marTop w:val="0"/>
          <w:marBottom w:val="0"/>
          <w:divBdr>
            <w:top w:val="none" w:sz="0" w:space="0" w:color="auto"/>
            <w:left w:val="none" w:sz="0" w:space="0" w:color="auto"/>
            <w:bottom w:val="none" w:sz="0" w:space="0" w:color="auto"/>
            <w:right w:val="none" w:sz="0" w:space="0" w:color="auto"/>
          </w:divBdr>
          <w:divsChild>
            <w:div w:id="421296159">
              <w:marLeft w:val="0"/>
              <w:marRight w:val="0"/>
              <w:marTop w:val="0"/>
              <w:marBottom w:val="0"/>
              <w:divBdr>
                <w:top w:val="none" w:sz="0" w:space="0" w:color="auto"/>
                <w:left w:val="none" w:sz="0" w:space="0" w:color="auto"/>
                <w:bottom w:val="none" w:sz="0" w:space="0" w:color="auto"/>
                <w:right w:val="none" w:sz="0" w:space="0" w:color="auto"/>
              </w:divBdr>
              <w:divsChild>
                <w:div w:id="808405528">
                  <w:marLeft w:val="0"/>
                  <w:marRight w:val="0"/>
                  <w:marTop w:val="0"/>
                  <w:marBottom w:val="0"/>
                  <w:divBdr>
                    <w:top w:val="none" w:sz="0" w:space="0" w:color="auto"/>
                    <w:left w:val="none" w:sz="0" w:space="0" w:color="auto"/>
                    <w:bottom w:val="none" w:sz="0" w:space="0" w:color="auto"/>
                    <w:right w:val="none" w:sz="0" w:space="0" w:color="auto"/>
                  </w:divBdr>
                </w:div>
              </w:divsChild>
            </w:div>
            <w:div w:id="1644236596">
              <w:marLeft w:val="0"/>
              <w:marRight w:val="0"/>
              <w:marTop w:val="0"/>
              <w:marBottom w:val="0"/>
              <w:divBdr>
                <w:top w:val="none" w:sz="0" w:space="0" w:color="auto"/>
                <w:left w:val="none" w:sz="0" w:space="0" w:color="auto"/>
                <w:bottom w:val="none" w:sz="0" w:space="0" w:color="auto"/>
                <w:right w:val="none" w:sz="0" w:space="0" w:color="auto"/>
              </w:divBdr>
              <w:divsChild>
                <w:div w:id="1629357579">
                  <w:marLeft w:val="0"/>
                  <w:marRight w:val="0"/>
                  <w:marTop w:val="0"/>
                  <w:marBottom w:val="0"/>
                  <w:divBdr>
                    <w:top w:val="none" w:sz="0" w:space="0" w:color="auto"/>
                    <w:left w:val="none" w:sz="0" w:space="0" w:color="auto"/>
                    <w:bottom w:val="none" w:sz="0" w:space="0" w:color="auto"/>
                    <w:right w:val="none" w:sz="0" w:space="0" w:color="auto"/>
                  </w:divBdr>
                </w:div>
                <w:div w:id="165957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0538">
      <w:bodyDiv w:val="1"/>
      <w:marLeft w:val="0"/>
      <w:marRight w:val="0"/>
      <w:marTop w:val="0"/>
      <w:marBottom w:val="0"/>
      <w:divBdr>
        <w:top w:val="none" w:sz="0" w:space="0" w:color="auto"/>
        <w:left w:val="none" w:sz="0" w:space="0" w:color="auto"/>
        <w:bottom w:val="none" w:sz="0" w:space="0" w:color="auto"/>
        <w:right w:val="none" w:sz="0" w:space="0" w:color="auto"/>
      </w:divBdr>
    </w:div>
    <w:div w:id="1097021173">
      <w:bodyDiv w:val="1"/>
      <w:marLeft w:val="0"/>
      <w:marRight w:val="0"/>
      <w:marTop w:val="0"/>
      <w:marBottom w:val="0"/>
      <w:divBdr>
        <w:top w:val="none" w:sz="0" w:space="0" w:color="auto"/>
        <w:left w:val="none" w:sz="0" w:space="0" w:color="auto"/>
        <w:bottom w:val="none" w:sz="0" w:space="0" w:color="auto"/>
        <w:right w:val="none" w:sz="0" w:space="0" w:color="auto"/>
      </w:divBdr>
    </w:div>
    <w:div w:id="1128233878">
      <w:bodyDiv w:val="1"/>
      <w:marLeft w:val="0"/>
      <w:marRight w:val="0"/>
      <w:marTop w:val="0"/>
      <w:marBottom w:val="0"/>
      <w:divBdr>
        <w:top w:val="none" w:sz="0" w:space="0" w:color="auto"/>
        <w:left w:val="none" w:sz="0" w:space="0" w:color="auto"/>
        <w:bottom w:val="none" w:sz="0" w:space="0" w:color="auto"/>
        <w:right w:val="none" w:sz="0" w:space="0" w:color="auto"/>
      </w:divBdr>
    </w:div>
    <w:div w:id="1156918105">
      <w:bodyDiv w:val="1"/>
      <w:marLeft w:val="0"/>
      <w:marRight w:val="0"/>
      <w:marTop w:val="0"/>
      <w:marBottom w:val="0"/>
      <w:divBdr>
        <w:top w:val="none" w:sz="0" w:space="0" w:color="auto"/>
        <w:left w:val="none" w:sz="0" w:space="0" w:color="auto"/>
        <w:bottom w:val="none" w:sz="0" w:space="0" w:color="auto"/>
        <w:right w:val="none" w:sz="0" w:space="0" w:color="auto"/>
      </w:divBdr>
    </w:div>
    <w:div w:id="1253781675">
      <w:bodyDiv w:val="1"/>
      <w:marLeft w:val="0"/>
      <w:marRight w:val="0"/>
      <w:marTop w:val="0"/>
      <w:marBottom w:val="0"/>
      <w:divBdr>
        <w:top w:val="none" w:sz="0" w:space="0" w:color="auto"/>
        <w:left w:val="none" w:sz="0" w:space="0" w:color="auto"/>
        <w:bottom w:val="none" w:sz="0" w:space="0" w:color="auto"/>
        <w:right w:val="none" w:sz="0" w:space="0" w:color="auto"/>
      </w:divBdr>
      <w:divsChild>
        <w:div w:id="1643194615">
          <w:marLeft w:val="0"/>
          <w:marRight w:val="0"/>
          <w:marTop w:val="0"/>
          <w:marBottom w:val="0"/>
          <w:divBdr>
            <w:top w:val="none" w:sz="0" w:space="0" w:color="auto"/>
            <w:left w:val="none" w:sz="0" w:space="0" w:color="auto"/>
            <w:bottom w:val="none" w:sz="0" w:space="0" w:color="auto"/>
            <w:right w:val="none" w:sz="0" w:space="0" w:color="auto"/>
          </w:divBdr>
        </w:div>
        <w:div w:id="557863126">
          <w:marLeft w:val="0"/>
          <w:marRight w:val="0"/>
          <w:marTop w:val="0"/>
          <w:marBottom w:val="0"/>
          <w:divBdr>
            <w:top w:val="none" w:sz="0" w:space="0" w:color="auto"/>
            <w:left w:val="none" w:sz="0" w:space="0" w:color="auto"/>
            <w:bottom w:val="none" w:sz="0" w:space="0" w:color="auto"/>
            <w:right w:val="none" w:sz="0" w:space="0" w:color="auto"/>
          </w:divBdr>
        </w:div>
      </w:divsChild>
    </w:div>
    <w:div w:id="1302419626">
      <w:bodyDiv w:val="1"/>
      <w:marLeft w:val="0"/>
      <w:marRight w:val="0"/>
      <w:marTop w:val="0"/>
      <w:marBottom w:val="0"/>
      <w:divBdr>
        <w:top w:val="none" w:sz="0" w:space="0" w:color="auto"/>
        <w:left w:val="none" w:sz="0" w:space="0" w:color="auto"/>
        <w:bottom w:val="none" w:sz="0" w:space="0" w:color="auto"/>
        <w:right w:val="none" w:sz="0" w:space="0" w:color="auto"/>
      </w:divBdr>
    </w:div>
    <w:div w:id="1349602708">
      <w:bodyDiv w:val="1"/>
      <w:marLeft w:val="0"/>
      <w:marRight w:val="0"/>
      <w:marTop w:val="0"/>
      <w:marBottom w:val="0"/>
      <w:divBdr>
        <w:top w:val="none" w:sz="0" w:space="0" w:color="auto"/>
        <w:left w:val="none" w:sz="0" w:space="0" w:color="auto"/>
        <w:bottom w:val="none" w:sz="0" w:space="0" w:color="auto"/>
        <w:right w:val="none" w:sz="0" w:space="0" w:color="auto"/>
      </w:divBdr>
    </w:div>
    <w:div w:id="1639413883">
      <w:bodyDiv w:val="1"/>
      <w:marLeft w:val="0"/>
      <w:marRight w:val="0"/>
      <w:marTop w:val="0"/>
      <w:marBottom w:val="0"/>
      <w:divBdr>
        <w:top w:val="none" w:sz="0" w:space="0" w:color="auto"/>
        <w:left w:val="none" w:sz="0" w:space="0" w:color="auto"/>
        <w:bottom w:val="none" w:sz="0" w:space="0" w:color="auto"/>
        <w:right w:val="none" w:sz="0" w:space="0" w:color="auto"/>
      </w:divBdr>
    </w:div>
    <w:div w:id="1806583133">
      <w:bodyDiv w:val="1"/>
      <w:marLeft w:val="0"/>
      <w:marRight w:val="0"/>
      <w:marTop w:val="0"/>
      <w:marBottom w:val="0"/>
      <w:divBdr>
        <w:top w:val="none" w:sz="0" w:space="0" w:color="auto"/>
        <w:left w:val="none" w:sz="0" w:space="0" w:color="auto"/>
        <w:bottom w:val="none" w:sz="0" w:space="0" w:color="auto"/>
        <w:right w:val="none" w:sz="0" w:space="0" w:color="auto"/>
      </w:divBdr>
    </w:div>
    <w:div w:id="1822578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5.png@01DCEE89.843665C0"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BC6C4-5615-4621-A397-08B0F318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1986</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Adviser</dc:creator>
  <cp:lastModifiedBy>Sharon Haines</cp:lastModifiedBy>
  <cp:revision>4</cp:revision>
  <cp:lastPrinted>2026-06-03T10:05:00Z</cp:lastPrinted>
  <dcterms:created xsi:type="dcterms:W3CDTF">2026-06-03T10:13:00Z</dcterms:created>
  <dcterms:modified xsi:type="dcterms:W3CDTF">2026-06-03T10:17:00Z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e970df-f2ff-4293-ae1d-a92363a14834_Enabled">
    <vt:lpwstr>true</vt:lpwstr>
  </property>
  <property fmtid="{D5CDD505-2E9C-101B-9397-08002B2CF9AE}" pid="3" name="MSIP_Label_c5e970df-f2ff-4293-ae1d-a92363a14834_SetDate">
    <vt:lpwstr>2021-10-19T07:23:24Z</vt:lpwstr>
  </property>
  <property fmtid="{D5CDD505-2E9C-101B-9397-08002B2CF9AE}" pid="4" name="MSIP_Label_c5e970df-f2ff-4293-ae1d-a92363a14834_Method">
    <vt:lpwstr>Privileged</vt:lpwstr>
  </property>
  <property fmtid="{D5CDD505-2E9C-101B-9397-08002B2CF9AE}" pid="5" name="MSIP_Label_c5e970df-f2ff-4293-ae1d-a92363a14834_Name">
    <vt:lpwstr>c5e970df-f2ff-4293-ae1d-a92363a14834</vt:lpwstr>
  </property>
  <property fmtid="{D5CDD505-2E9C-101B-9397-08002B2CF9AE}" pid="6" name="MSIP_Label_c5e970df-f2ff-4293-ae1d-a92363a14834_SiteId">
    <vt:lpwstr>0c5bd621-4db2-45d4-92c6-94708f93fa6e</vt:lpwstr>
  </property>
  <property fmtid="{D5CDD505-2E9C-101B-9397-08002B2CF9AE}" pid="7" name="MSIP_Label_c5e970df-f2ff-4293-ae1d-a92363a14834_ActionId">
    <vt:lpwstr>e3949d08-2f72-4c41-8ea8-930b0b3a25b5</vt:lpwstr>
  </property>
  <property fmtid="{D5CDD505-2E9C-101B-9397-08002B2CF9AE}" pid="8" name="MSIP_Label_c5e970df-f2ff-4293-ae1d-a92363a14834_ContentBits">
    <vt:lpwstr>2</vt:lpwstr>
  </property>
</Properties>
</file>